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7DB170" w14:textId="540CDCA5" w:rsidR="0011419E" w:rsidRPr="0011419E" w:rsidRDefault="00C46135" w:rsidP="0011419E">
      <w:pPr>
        <w:jc w:val="center"/>
        <w:rPr>
          <w:rFonts w:ascii="Book Antiqua" w:hAnsi="Book Antiqua"/>
          <w:b/>
          <w:bCs/>
        </w:rPr>
      </w:pPr>
      <w:r>
        <w:rPr>
          <w:rFonts w:ascii="Book Antiqua" w:hAnsi="Book Antiqua"/>
          <w:noProof/>
        </w:rPr>
        <w:pict w14:anchorId="0C79804F">
          <v:rect id="_x0000_i1037" alt="" style="width:453.6pt;height:.05pt;mso-width-percent:0;mso-height-percent:0;mso-width-percent:0;mso-height-percent:0" o:hralign="center" o:hrstd="t" o:hr="t" fillcolor="#a0a0a0" stroked="f"/>
        </w:pict>
      </w:r>
    </w:p>
    <w:p w14:paraId="2474C1AC" w14:textId="62CE63F0" w:rsidR="0011419E" w:rsidRPr="0011419E" w:rsidRDefault="0011419E" w:rsidP="0011419E">
      <w:pPr>
        <w:jc w:val="center"/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 xml:space="preserve">CRC INTERIM MEASURES REPORT </w:t>
      </w:r>
    </w:p>
    <w:p w14:paraId="2E369D2E" w14:textId="77777777" w:rsidR="0011419E" w:rsidRPr="0011419E" w:rsidRDefault="0011419E" w:rsidP="0011419E">
      <w:pPr>
        <w:jc w:val="center"/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Strategic Litigation Center — Comprehensive Protection Report</w:t>
      </w:r>
    </w:p>
    <w:p w14:paraId="0F2B5597" w14:textId="0A9D67FB" w:rsidR="0011419E" w:rsidRPr="0011419E" w:rsidRDefault="0011419E" w:rsidP="0011419E">
      <w:pPr>
        <w:jc w:val="center"/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(2024)</w:t>
      </w:r>
    </w:p>
    <w:p w14:paraId="39B2BDB9" w14:textId="0111A052" w:rsidR="0011419E" w:rsidRPr="0011419E" w:rsidRDefault="00C46135" w:rsidP="0011419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1C40237D">
          <v:rect id="_x0000_i1036" alt="" style="width:453.6pt;height:.05pt;mso-width-percent:0;mso-height-percent:0;mso-width-percent:0;mso-height-percent:0" o:hralign="center" o:hrstd="t" o:hr="t" fillcolor="#a0a0a0" stroked="f"/>
        </w:pict>
      </w:r>
    </w:p>
    <w:p w14:paraId="4230248B" w14:textId="77777777" w:rsidR="0011419E" w:rsidRPr="0011419E" w:rsidRDefault="0011419E" w:rsidP="00F756BF">
      <w:pPr>
        <w:rPr>
          <w:rFonts w:ascii="Book Antiqua" w:hAnsi="Book Antiqua"/>
        </w:rPr>
      </w:pPr>
    </w:p>
    <w:p w14:paraId="54988E44" w14:textId="77777777" w:rsidR="0011419E" w:rsidRPr="0011419E" w:rsidRDefault="0011419E" w:rsidP="00F756BF">
      <w:pPr>
        <w:rPr>
          <w:rFonts w:ascii="Book Antiqua" w:hAnsi="Book Antiqua"/>
        </w:rPr>
      </w:pPr>
    </w:p>
    <w:p w14:paraId="54E867EC" w14:textId="6A64D7AB" w:rsidR="0011419E" w:rsidRPr="0011419E" w:rsidRDefault="0011419E" w:rsidP="00F756BF">
      <w:pPr>
        <w:rPr>
          <w:rFonts w:ascii="Book Antiqua" w:hAnsi="Book Antiqua"/>
        </w:rPr>
      </w:pPr>
      <w:r w:rsidRPr="0011419E">
        <w:rPr>
          <w:rFonts w:ascii="Book Antiqua" w:hAnsi="Book Antiqua"/>
          <w:noProof/>
        </w:rPr>
        <w:drawing>
          <wp:inline distT="0" distB="0" distL="0" distR="0" wp14:anchorId="41B48437" wp14:editId="2ECEFE03">
            <wp:extent cx="5760046" cy="4704203"/>
            <wp:effectExtent l="0" t="0" r="6350" b="0"/>
            <wp:docPr id="1046979625" name="Resim 1" descr="metin, yazı tipi, logo, simge, sembol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79625" name="Resim 1" descr="metin, yazı tipi, logo, simge, sembol içeren bir resim&#10;&#10;Açıklama otomatik olarak oluşturuldu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189" cy="473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5D131" w14:textId="74FA1005" w:rsidR="0011419E" w:rsidRPr="0011419E" w:rsidRDefault="00C46135" w:rsidP="00F756BF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38458142">
          <v:rect id="_x0000_i1035" alt="" style="width:453.6pt;height:.05pt;mso-width-percent:0;mso-height-percent:0;mso-width-percent:0;mso-height-percent:0" o:hralign="center" o:hrstd="t" o:hr="t" fillcolor="#a0a0a0" stroked="f"/>
        </w:pict>
      </w:r>
    </w:p>
    <w:p w14:paraId="4EF95598" w14:textId="3D8530D1" w:rsidR="0011419E" w:rsidRPr="0011419E" w:rsidRDefault="0011419E" w:rsidP="0011419E">
      <w:pPr>
        <w:jc w:val="center"/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Prepared By</w:t>
      </w:r>
    </w:p>
    <w:p w14:paraId="7C638B4F" w14:textId="4AEC2B66" w:rsidR="0011419E" w:rsidRPr="0011419E" w:rsidRDefault="0011419E" w:rsidP="0011419E">
      <w:pPr>
        <w:jc w:val="center"/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STRATEGIC LITIGATION CENTER TEAM</w:t>
      </w:r>
    </w:p>
    <w:p w14:paraId="675DCBD1" w14:textId="1460F7BB" w:rsidR="0011419E" w:rsidRPr="0011419E" w:rsidRDefault="00C46135" w:rsidP="0011419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670C7C80">
          <v:rect id="_x0000_i1034" alt="" style="width:453.6pt;height:.05pt;mso-width-percent:0;mso-height-percent:0;mso-width-percent:0;mso-height-percent:0" o:hralign="center" o:hrstd="t" o:hr="t" fillcolor="#a0a0a0" stroked="f"/>
        </w:pict>
      </w:r>
    </w:p>
    <w:p w14:paraId="44C3E495" w14:textId="77777777" w:rsidR="0011419E" w:rsidRPr="0011419E" w:rsidRDefault="0011419E" w:rsidP="00F756BF">
      <w:pPr>
        <w:rPr>
          <w:rFonts w:ascii="Book Antiqua" w:hAnsi="Book Antiqua"/>
        </w:rPr>
      </w:pPr>
    </w:p>
    <w:p w14:paraId="68A6DA51" w14:textId="77777777" w:rsidR="0011419E" w:rsidRPr="0011419E" w:rsidRDefault="0011419E" w:rsidP="00F756BF">
      <w:pPr>
        <w:rPr>
          <w:rFonts w:ascii="Book Antiqua" w:hAnsi="Book Antiqua"/>
        </w:rPr>
      </w:pPr>
    </w:p>
    <w:p w14:paraId="69DDFF5B" w14:textId="05F28202" w:rsidR="00F756BF" w:rsidRPr="0011419E" w:rsidRDefault="00F756BF" w:rsidP="00F756BF">
      <w:pPr>
        <w:rPr>
          <w:rFonts w:ascii="Book Antiqua" w:hAnsi="Book Antiqua"/>
        </w:rPr>
      </w:pPr>
    </w:p>
    <w:p w14:paraId="049A309C" w14:textId="77777777" w:rsidR="00F756BF" w:rsidRPr="0011419E" w:rsidRDefault="00F756BF" w:rsidP="00F756BF">
      <w:pPr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I. Executive Summary</w:t>
      </w:r>
    </w:p>
    <w:p w14:paraId="2A478F63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 xml:space="preserve">This report provides a detailed analysis of the urgent interim measures issued by the UN Committee on the Rights of the Child (CRC) on </w:t>
      </w:r>
      <w:r w:rsidRPr="0011419E">
        <w:rPr>
          <w:rFonts w:ascii="Book Antiqua" w:hAnsi="Book Antiqua"/>
          <w:b/>
          <w:bCs/>
        </w:rPr>
        <w:t>17 December 2024</w:t>
      </w:r>
      <w:r w:rsidRPr="0011419E">
        <w:rPr>
          <w:rFonts w:ascii="Book Antiqua" w:hAnsi="Book Antiqua"/>
        </w:rPr>
        <w:t xml:space="preserve"> in Communication No. </w:t>
      </w:r>
      <w:r w:rsidRPr="0011419E">
        <w:rPr>
          <w:rFonts w:ascii="Book Antiqua" w:hAnsi="Book Antiqua"/>
          <w:b/>
          <w:bCs/>
        </w:rPr>
        <w:t>254/2024</w:t>
      </w:r>
      <w:r w:rsidRPr="0011419E">
        <w:rPr>
          <w:rFonts w:ascii="Book Antiqua" w:hAnsi="Book Antiqua"/>
        </w:rPr>
        <w:t>, submitted by the Strategic Litigation Center on behalf of a group of refugee children (initials D. Ç. et al.).</w:t>
      </w:r>
    </w:p>
    <w:p w14:paraId="1654A415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 xml:space="preserve">The Committee determined that the applicants faced </w:t>
      </w:r>
      <w:r w:rsidRPr="0011419E">
        <w:rPr>
          <w:rFonts w:ascii="Book Antiqua" w:hAnsi="Book Antiqua"/>
          <w:b/>
          <w:bCs/>
        </w:rPr>
        <w:t>imminent risk of irreparable harm</w:t>
      </w:r>
      <w:r w:rsidRPr="0011419E">
        <w:rPr>
          <w:rFonts w:ascii="Book Antiqua" w:hAnsi="Book Antiqua"/>
        </w:rPr>
        <w:t>, including:</w:t>
      </w:r>
    </w:p>
    <w:p w14:paraId="4827684F" w14:textId="77777777" w:rsidR="00F756BF" w:rsidRPr="0011419E" w:rsidRDefault="00F756BF" w:rsidP="00F756BF">
      <w:pPr>
        <w:numPr>
          <w:ilvl w:val="0"/>
          <w:numId w:val="1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deportation to a conflict zone (Iraq),</w:t>
      </w:r>
    </w:p>
    <w:p w14:paraId="2AD97EC2" w14:textId="77777777" w:rsidR="00F756BF" w:rsidRPr="0011419E" w:rsidRDefault="00F756BF" w:rsidP="00F756BF">
      <w:pPr>
        <w:numPr>
          <w:ilvl w:val="0"/>
          <w:numId w:val="1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separation from their father,</w:t>
      </w:r>
    </w:p>
    <w:p w14:paraId="74E0AD11" w14:textId="77777777" w:rsidR="00F756BF" w:rsidRPr="0011419E" w:rsidRDefault="00F756BF" w:rsidP="00F756BF">
      <w:pPr>
        <w:numPr>
          <w:ilvl w:val="0"/>
          <w:numId w:val="1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lack of adequate protection,</w:t>
      </w:r>
    </w:p>
    <w:p w14:paraId="6A5C6826" w14:textId="77777777" w:rsidR="00F756BF" w:rsidRPr="0011419E" w:rsidRDefault="00F756BF" w:rsidP="00F756BF">
      <w:pPr>
        <w:numPr>
          <w:ilvl w:val="0"/>
          <w:numId w:val="1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exposure to ill-treatment.</w:t>
      </w:r>
    </w:p>
    <w:p w14:paraId="7614671F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 xml:space="preserve">The CRC consequently ordered </w:t>
      </w:r>
      <w:r w:rsidRPr="0011419E">
        <w:rPr>
          <w:rFonts w:ascii="Book Antiqua" w:hAnsi="Book Antiqua"/>
          <w:b/>
          <w:bCs/>
        </w:rPr>
        <w:t>emergency protective measures</w:t>
      </w:r>
      <w:r w:rsidRPr="0011419E">
        <w:rPr>
          <w:rFonts w:ascii="Book Antiqua" w:hAnsi="Book Antiqua"/>
        </w:rPr>
        <w:t xml:space="preserve"> requiring the State to transfer the children to a safe child-protection facility, grant access to the parent, and halt deportation during the pendency of the case.</w:t>
      </w:r>
    </w:p>
    <w:p w14:paraId="07C510FE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 xml:space="preserve">Interim measures by the CRC are extremely rare, which makes this case </w:t>
      </w:r>
      <w:r w:rsidRPr="0011419E">
        <w:rPr>
          <w:rFonts w:ascii="Book Antiqua" w:hAnsi="Book Antiqua"/>
          <w:b/>
          <w:bCs/>
        </w:rPr>
        <w:t>one of the strongest child-rights protection precedents in Türkiye and the region</w:t>
      </w:r>
      <w:r w:rsidRPr="0011419E">
        <w:rPr>
          <w:rFonts w:ascii="Book Antiqua" w:hAnsi="Book Antiqua"/>
        </w:rPr>
        <w:t>.</w:t>
      </w:r>
    </w:p>
    <w:p w14:paraId="2E299600" w14:textId="77777777" w:rsidR="00F756BF" w:rsidRPr="0011419E" w:rsidRDefault="00C46135" w:rsidP="00F756BF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209C61B0">
          <v:rect id="_x0000_i1033" alt="" style="width:453.6pt;height:.05pt;mso-width-percent:0;mso-height-percent:0;mso-width-percent:0;mso-height-percent:0" o:hralign="center" o:hrstd="t" o:hr="t" fillcolor="#a0a0a0" stroked="f"/>
        </w:pict>
      </w:r>
    </w:p>
    <w:p w14:paraId="0C6C3A8C" w14:textId="77777777" w:rsidR="00F756BF" w:rsidRPr="0011419E" w:rsidRDefault="00F756BF" w:rsidP="00F756BF">
      <w:pPr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II. Introduction</w:t>
      </w:r>
    </w:p>
    <w:p w14:paraId="2F0EB758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>The Strategic Litigation Center filed this communication to the CRC in 2024 after identifying severe risks involving:</w:t>
      </w:r>
    </w:p>
    <w:p w14:paraId="629C846E" w14:textId="77777777" w:rsidR="00F756BF" w:rsidRPr="0011419E" w:rsidRDefault="00F756BF" w:rsidP="00F756BF">
      <w:pPr>
        <w:numPr>
          <w:ilvl w:val="0"/>
          <w:numId w:val="2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refugee minors,</w:t>
      </w:r>
    </w:p>
    <w:p w14:paraId="29916B85" w14:textId="77777777" w:rsidR="00F756BF" w:rsidRPr="0011419E" w:rsidRDefault="00F756BF" w:rsidP="00F756BF">
      <w:pPr>
        <w:numPr>
          <w:ilvl w:val="0"/>
          <w:numId w:val="2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detention practices,</w:t>
      </w:r>
    </w:p>
    <w:p w14:paraId="4AD694F3" w14:textId="77777777" w:rsidR="00F756BF" w:rsidRPr="0011419E" w:rsidRDefault="00F756BF" w:rsidP="00F756BF">
      <w:pPr>
        <w:numPr>
          <w:ilvl w:val="0"/>
          <w:numId w:val="2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deportation threats,</w:t>
      </w:r>
    </w:p>
    <w:p w14:paraId="251CFAA2" w14:textId="77777777" w:rsidR="00F756BF" w:rsidRPr="0011419E" w:rsidRDefault="00F756BF" w:rsidP="00F756BF">
      <w:pPr>
        <w:numPr>
          <w:ilvl w:val="0"/>
          <w:numId w:val="2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denial of family contact,</w:t>
      </w:r>
    </w:p>
    <w:p w14:paraId="63C7CFD9" w14:textId="77777777" w:rsidR="00F756BF" w:rsidRPr="0011419E" w:rsidRDefault="00F756BF" w:rsidP="00F756BF">
      <w:pPr>
        <w:numPr>
          <w:ilvl w:val="0"/>
          <w:numId w:val="2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and absence of child-appropriate accommodation.</w:t>
      </w:r>
    </w:p>
    <w:p w14:paraId="037D9E1D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>The case gained urgency due to:</w:t>
      </w:r>
    </w:p>
    <w:p w14:paraId="05276FB1" w14:textId="77777777" w:rsidR="00F756BF" w:rsidRPr="0011419E" w:rsidRDefault="00F756BF" w:rsidP="00F756BF">
      <w:pPr>
        <w:numPr>
          <w:ilvl w:val="0"/>
          <w:numId w:val="3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imminent deportation to Iraq,</w:t>
      </w:r>
    </w:p>
    <w:p w14:paraId="54F492C5" w14:textId="77777777" w:rsidR="00F756BF" w:rsidRPr="0011419E" w:rsidRDefault="00F756BF" w:rsidP="00F756BF">
      <w:pPr>
        <w:numPr>
          <w:ilvl w:val="0"/>
          <w:numId w:val="3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unstable security conditions,</w:t>
      </w:r>
    </w:p>
    <w:p w14:paraId="45AF759E" w14:textId="77777777" w:rsidR="00F756BF" w:rsidRPr="0011419E" w:rsidRDefault="00F756BF" w:rsidP="00F756BF">
      <w:pPr>
        <w:numPr>
          <w:ilvl w:val="0"/>
          <w:numId w:val="3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lack of access to their detained father,</w:t>
      </w:r>
    </w:p>
    <w:p w14:paraId="7740175F" w14:textId="77777777" w:rsidR="00F756BF" w:rsidRPr="0011419E" w:rsidRDefault="00F756BF" w:rsidP="00F756BF">
      <w:pPr>
        <w:numPr>
          <w:ilvl w:val="0"/>
          <w:numId w:val="3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psychological vulnerability,</w:t>
      </w:r>
    </w:p>
    <w:p w14:paraId="70CD83B5" w14:textId="77777777" w:rsidR="00F756BF" w:rsidRPr="0011419E" w:rsidRDefault="00F756BF" w:rsidP="00F756BF">
      <w:pPr>
        <w:numPr>
          <w:ilvl w:val="0"/>
          <w:numId w:val="3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lastRenderedPageBreak/>
        <w:t>and the absence of State-led safeguarding mechanisms.</w:t>
      </w:r>
    </w:p>
    <w:p w14:paraId="17429BAF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 xml:space="preserve">The CRC’s response underscores the State’s responsibility under the Convention on the Rights of the Child, especially </w:t>
      </w:r>
      <w:r w:rsidRPr="0011419E">
        <w:rPr>
          <w:rFonts w:ascii="Book Antiqua" w:hAnsi="Book Antiqua"/>
          <w:b/>
          <w:bCs/>
        </w:rPr>
        <w:t>Articles 3, 9, 22, and 37</w:t>
      </w:r>
      <w:r w:rsidRPr="0011419E">
        <w:rPr>
          <w:rFonts w:ascii="Book Antiqua" w:hAnsi="Book Antiqua"/>
        </w:rPr>
        <w:t>.</w:t>
      </w:r>
    </w:p>
    <w:p w14:paraId="715B55D3" w14:textId="77777777" w:rsidR="00F756BF" w:rsidRPr="0011419E" w:rsidRDefault="00C46135" w:rsidP="00F756BF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2A5C5D27">
          <v:rect id="_x0000_i1032" alt="" style="width:453.6pt;height:.05pt;mso-width-percent:0;mso-height-percent:0;mso-width-percent:0;mso-height-percent:0" o:hralign="center" o:hrstd="t" o:hr="t" fillcolor="#a0a0a0" stroked="f"/>
        </w:pict>
      </w:r>
    </w:p>
    <w:p w14:paraId="57F863E8" w14:textId="77777777" w:rsidR="00F756BF" w:rsidRPr="0011419E" w:rsidRDefault="00F756BF" w:rsidP="00F756BF">
      <w:pPr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III. Methodology</w:t>
      </w:r>
    </w:p>
    <w:p w14:paraId="6F1D9677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>This report is based on:</w:t>
      </w:r>
    </w:p>
    <w:p w14:paraId="5D22559B" w14:textId="77777777" w:rsidR="00F756BF" w:rsidRPr="0011419E" w:rsidRDefault="00F756BF" w:rsidP="00F756BF">
      <w:pPr>
        <w:numPr>
          <w:ilvl w:val="0"/>
          <w:numId w:val="4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the interim measures letter issued by CRC,</w:t>
      </w:r>
    </w:p>
    <w:p w14:paraId="093AF740" w14:textId="77777777" w:rsidR="00F756BF" w:rsidRPr="0011419E" w:rsidRDefault="00F756BF" w:rsidP="00F756BF">
      <w:pPr>
        <w:numPr>
          <w:ilvl w:val="0"/>
          <w:numId w:val="4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submissions made by the Strategic Litigation Center,</w:t>
      </w:r>
    </w:p>
    <w:p w14:paraId="362C00DB" w14:textId="77777777" w:rsidR="00F756BF" w:rsidRPr="0011419E" w:rsidRDefault="00F756BF" w:rsidP="00F756BF">
      <w:pPr>
        <w:numPr>
          <w:ilvl w:val="0"/>
          <w:numId w:val="4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interviews with family members (</w:t>
      </w:r>
      <w:proofErr w:type="spellStart"/>
      <w:r w:rsidRPr="0011419E">
        <w:rPr>
          <w:rFonts w:ascii="Book Antiqua" w:hAnsi="Book Antiqua"/>
        </w:rPr>
        <w:t>anonymised</w:t>
      </w:r>
      <w:proofErr w:type="spellEnd"/>
      <w:r w:rsidRPr="0011419E">
        <w:rPr>
          <w:rFonts w:ascii="Book Antiqua" w:hAnsi="Book Antiqua"/>
        </w:rPr>
        <w:t>),</w:t>
      </w:r>
    </w:p>
    <w:p w14:paraId="5129AAA6" w14:textId="77777777" w:rsidR="00F756BF" w:rsidRPr="0011419E" w:rsidRDefault="00F756BF" w:rsidP="00F756BF">
      <w:pPr>
        <w:numPr>
          <w:ilvl w:val="0"/>
          <w:numId w:val="4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documentation of detention and deportation processes,</w:t>
      </w:r>
    </w:p>
    <w:p w14:paraId="46847B05" w14:textId="77777777" w:rsidR="00F756BF" w:rsidRPr="0011419E" w:rsidRDefault="00F756BF" w:rsidP="00F756BF">
      <w:pPr>
        <w:numPr>
          <w:ilvl w:val="0"/>
          <w:numId w:val="4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child-rights standards under CRC General Comments,</w:t>
      </w:r>
    </w:p>
    <w:p w14:paraId="63704B0D" w14:textId="77777777" w:rsidR="00F756BF" w:rsidRPr="0011419E" w:rsidRDefault="00F756BF" w:rsidP="00F756BF">
      <w:pPr>
        <w:numPr>
          <w:ilvl w:val="0"/>
          <w:numId w:val="4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comparative analysis of similar urgent-action cases,</w:t>
      </w:r>
    </w:p>
    <w:p w14:paraId="65FC2290" w14:textId="77777777" w:rsidR="00F756BF" w:rsidRPr="0011419E" w:rsidRDefault="00F756BF" w:rsidP="00F756BF">
      <w:pPr>
        <w:numPr>
          <w:ilvl w:val="0"/>
          <w:numId w:val="4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regional patterns of refugee child endangerment.</w:t>
      </w:r>
    </w:p>
    <w:p w14:paraId="14C6DD49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>The assessment focuses on four protection pillars:</w:t>
      </w:r>
    </w:p>
    <w:p w14:paraId="2C23ED5F" w14:textId="77777777" w:rsidR="00F756BF" w:rsidRPr="0011419E" w:rsidRDefault="00F756BF" w:rsidP="00F756BF">
      <w:pPr>
        <w:numPr>
          <w:ilvl w:val="0"/>
          <w:numId w:val="5"/>
        </w:numPr>
        <w:rPr>
          <w:rFonts w:ascii="Book Antiqua" w:hAnsi="Book Antiqua"/>
        </w:rPr>
      </w:pPr>
      <w:r w:rsidRPr="0011419E">
        <w:rPr>
          <w:rFonts w:ascii="Book Antiqua" w:hAnsi="Book Antiqua"/>
          <w:b/>
          <w:bCs/>
        </w:rPr>
        <w:t>Non-refoulement &amp; conflict-zone risk</w:t>
      </w:r>
    </w:p>
    <w:p w14:paraId="795623A9" w14:textId="77777777" w:rsidR="00F756BF" w:rsidRPr="0011419E" w:rsidRDefault="00F756BF" w:rsidP="00F756BF">
      <w:pPr>
        <w:numPr>
          <w:ilvl w:val="0"/>
          <w:numId w:val="5"/>
        </w:numPr>
        <w:rPr>
          <w:rFonts w:ascii="Book Antiqua" w:hAnsi="Book Antiqua"/>
        </w:rPr>
      </w:pPr>
      <w:r w:rsidRPr="0011419E">
        <w:rPr>
          <w:rFonts w:ascii="Book Antiqua" w:hAnsi="Book Antiqua"/>
          <w:b/>
          <w:bCs/>
        </w:rPr>
        <w:t>Family unity &amp; best interests of the child</w:t>
      </w:r>
    </w:p>
    <w:p w14:paraId="78A2F58A" w14:textId="77777777" w:rsidR="00F756BF" w:rsidRPr="0011419E" w:rsidRDefault="00F756BF" w:rsidP="00F756BF">
      <w:pPr>
        <w:numPr>
          <w:ilvl w:val="0"/>
          <w:numId w:val="5"/>
        </w:numPr>
        <w:rPr>
          <w:rFonts w:ascii="Book Antiqua" w:hAnsi="Book Antiqua"/>
        </w:rPr>
      </w:pPr>
      <w:r w:rsidRPr="0011419E">
        <w:rPr>
          <w:rFonts w:ascii="Book Antiqua" w:hAnsi="Book Antiqua"/>
          <w:b/>
          <w:bCs/>
        </w:rPr>
        <w:t>Conditions of detention &amp; accommodation</w:t>
      </w:r>
    </w:p>
    <w:p w14:paraId="1EB2A599" w14:textId="77777777" w:rsidR="00F756BF" w:rsidRPr="0011419E" w:rsidRDefault="00F756BF" w:rsidP="00F756BF">
      <w:pPr>
        <w:numPr>
          <w:ilvl w:val="0"/>
          <w:numId w:val="5"/>
        </w:numPr>
        <w:rPr>
          <w:rFonts w:ascii="Book Antiqua" w:hAnsi="Book Antiqua"/>
        </w:rPr>
      </w:pPr>
      <w:r w:rsidRPr="0011419E">
        <w:rPr>
          <w:rFonts w:ascii="Book Antiqua" w:hAnsi="Book Antiqua"/>
          <w:b/>
          <w:bCs/>
        </w:rPr>
        <w:t>Procedural guarantees for minors</w:t>
      </w:r>
    </w:p>
    <w:p w14:paraId="468798CD" w14:textId="77777777" w:rsidR="00F756BF" w:rsidRPr="0011419E" w:rsidRDefault="00C46135" w:rsidP="00F756BF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346E6E32">
          <v:rect id="_x0000_i1031" alt="" style="width:453.6pt;height:.05pt;mso-width-percent:0;mso-height-percent:0;mso-width-percent:0;mso-height-percent:0" o:hralign="center" o:hrstd="t" o:hr="t" fillcolor="#a0a0a0" stroked="f"/>
        </w:pict>
      </w:r>
    </w:p>
    <w:p w14:paraId="5AFDCF7B" w14:textId="77777777" w:rsidR="00F756BF" w:rsidRPr="0011419E" w:rsidRDefault="00F756BF" w:rsidP="00F756BF">
      <w:pPr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IV. Case Summary</w:t>
      </w:r>
    </w:p>
    <w:p w14:paraId="560D87CF" w14:textId="77777777" w:rsidR="00F756BF" w:rsidRPr="0011419E" w:rsidRDefault="00F756BF" w:rsidP="00F756BF">
      <w:pPr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A. Background</w:t>
      </w:r>
    </w:p>
    <w:p w14:paraId="60200024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>The children, all minors, were placed under State custody in Türkiye under conditions that:</w:t>
      </w:r>
    </w:p>
    <w:p w14:paraId="46B24D27" w14:textId="77777777" w:rsidR="00F756BF" w:rsidRPr="0011419E" w:rsidRDefault="00F756BF" w:rsidP="00F756BF">
      <w:pPr>
        <w:numPr>
          <w:ilvl w:val="0"/>
          <w:numId w:val="6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lacked adequate care,</w:t>
      </w:r>
    </w:p>
    <w:p w14:paraId="4146B679" w14:textId="77777777" w:rsidR="00F756BF" w:rsidRPr="0011419E" w:rsidRDefault="00F756BF" w:rsidP="00F756BF">
      <w:pPr>
        <w:numPr>
          <w:ilvl w:val="0"/>
          <w:numId w:val="6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denied family visits,</w:t>
      </w:r>
    </w:p>
    <w:p w14:paraId="50D3099C" w14:textId="77777777" w:rsidR="00F756BF" w:rsidRPr="0011419E" w:rsidRDefault="00F756BF" w:rsidP="00F756BF">
      <w:pPr>
        <w:numPr>
          <w:ilvl w:val="0"/>
          <w:numId w:val="6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exposed them to deportation risk,</w:t>
      </w:r>
    </w:p>
    <w:p w14:paraId="4B2494B7" w14:textId="77777777" w:rsidR="00F756BF" w:rsidRPr="0011419E" w:rsidRDefault="00F756BF" w:rsidP="00F756BF">
      <w:pPr>
        <w:numPr>
          <w:ilvl w:val="0"/>
          <w:numId w:val="6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violated child-rights protection norms.</w:t>
      </w:r>
    </w:p>
    <w:p w14:paraId="556A11A9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>Their father was detained separately.</w:t>
      </w:r>
      <w:r w:rsidRPr="0011419E">
        <w:rPr>
          <w:rFonts w:ascii="Book Antiqua" w:hAnsi="Book Antiqua"/>
        </w:rPr>
        <w:br/>
        <w:t>The State planned to deport the children to Iraq without ensuring:</w:t>
      </w:r>
    </w:p>
    <w:p w14:paraId="613470C9" w14:textId="77777777" w:rsidR="00F756BF" w:rsidRPr="0011419E" w:rsidRDefault="00F756BF" w:rsidP="00F756BF">
      <w:pPr>
        <w:numPr>
          <w:ilvl w:val="0"/>
          <w:numId w:val="7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lastRenderedPageBreak/>
        <w:t>safety,</w:t>
      </w:r>
    </w:p>
    <w:p w14:paraId="33D7BA8B" w14:textId="77777777" w:rsidR="00F756BF" w:rsidRPr="0011419E" w:rsidRDefault="00F756BF" w:rsidP="00F756BF">
      <w:pPr>
        <w:numPr>
          <w:ilvl w:val="0"/>
          <w:numId w:val="7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stability,</w:t>
      </w:r>
    </w:p>
    <w:p w14:paraId="761C3312" w14:textId="77777777" w:rsidR="00F756BF" w:rsidRPr="0011419E" w:rsidRDefault="00F756BF" w:rsidP="00F756BF">
      <w:pPr>
        <w:numPr>
          <w:ilvl w:val="0"/>
          <w:numId w:val="7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access to parent,</w:t>
      </w:r>
    </w:p>
    <w:p w14:paraId="32E02BCE" w14:textId="77777777" w:rsidR="00F756BF" w:rsidRPr="0011419E" w:rsidRDefault="00F756BF" w:rsidP="00F756BF">
      <w:pPr>
        <w:numPr>
          <w:ilvl w:val="0"/>
          <w:numId w:val="7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psychological evaluation,</w:t>
      </w:r>
    </w:p>
    <w:p w14:paraId="5CFD57D3" w14:textId="77777777" w:rsidR="00F756BF" w:rsidRPr="0011419E" w:rsidRDefault="00F756BF" w:rsidP="00F756BF">
      <w:pPr>
        <w:numPr>
          <w:ilvl w:val="0"/>
          <w:numId w:val="7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legal representation.</w:t>
      </w:r>
    </w:p>
    <w:p w14:paraId="7E1F1942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>The Strategic Litigation Center filed an urgent communication seeking protective measures.</w:t>
      </w:r>
    </w:p>
    <w:p w14:paraId="0A18F07E" w14:textId="77777777" w:rsidR="00F756BF" w:rsidRPr="0011419E" w:rsidRDefault="00C46135" w:rsidP="00F756BF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0B864384">
          <v:rect id="_x0000_i1030" alt="" style="width:453.6pt;height:.05pt;mso-width-percent:0;mso-height-percent:0;mso-width-percent:0;mso-height-percent:0" o:hralign="center" o:hrstd="t" o:hr="t" fillcolor="#a0a0a0" stroked="f"/>
        </w:pict>
      </w:r>
    </w:p>
    <w:p w14:paraId="79CEBA75" w14:textId="77777777" w:rsidR="00F756BF" w:rsidRPr="0011419E" w:rsidRDefault="00F756BF" w:rsidP="00F756BF">
      <w:pPr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B. CRC Interim Measures Decision</w:t>
      </w:r>
    </w:p>
    <w:p w14:paraId="0AD40C8C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 xml:space="preserve">On </w:t>
      </w:r>
      <w:r w:rsidRPr="0011419E">
        <w:rPr>
          <w:rFonts w:ascii="Book Antiqua" w:hAnsi="Book Antiqua"/>
          <w:b/>
          <w:bCs/>
        </w:rPr>
        <w:t>17 December 2024</w:t>
      </w:r>
      <w:r w:rsidRPr="0011419E">
        <w:rPr>
          <w:rFonts w:ascii="Book Antiqua" w:hAnsi="Book Antiqua"/>
        </w:rPr>
        <w:t>, the CRC issued urgent measures ordering the State to:</w:t>
      </w:r>
    </w:p>
    <w:p w14:paraId="03F21BDF" w14:textId="77777777" w:rsidR="00F756BF" w:rsidRPr="0011419E" w:rsidRDefault="00F756BF" w:rsidP="00F756BF">
      <w:pPr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 xml:space="preserve">1. Transfer the children to a child-protection </w:t>
      </w:r>
      <w:proofErr w:type="spellStart"/>
      <w:r w:rsidRPr="0011419E">
        <w:rPr>
          <w:rFonts w:ascii="Book Antiqua" w:hAnsi="Book Antiqua"/>
          <w:b/>
          <w:bCs/>
        </w:rPr>
        <w:t>centre</w:t>
      </w:r>
      <w:proofErr w:type="spellEnd"/>
    </w:p>
    <w:p w14:paraId="7A23F8A6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>→ ensuring safety, stability, education, shelter, and care.</w:t>
      </w:r>
    </w:p>
    <w:p w14:paraId="5106F2D0" w14:textId="77777777" w:rsidR="00F756BF" w:rsidRPr="0011419E" w:rsidRDefault="00F756BF" w:rsidP="00F756BF">
      <w:pPr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2. Ensure access and visits to their father</w:t>
      </w:r>
    </w:p>
    <w:p w14:paraId="129DEECE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>→ preserving family unity and preventing long-term trauma.</w:t>
      </w:r>
    </w:p>
    <w:p w14:paraId="4FDF1520" w14:textId="77777777" w:rsidR="00F756BF" w:rsidRPr="0011419E" w:rsidRDefault="00F756BF" w:rsidP="00F756BF">
      <w:pPr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3. Refrain from deporting the children to Iraq</w:t>
      </w:r>
    </w:p>
    <w:p w14:paraId="3C3A409F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>→ until the case is fully examined on merits and admissibility.</w:t>
      </w:r>
    </w:p>
    <w:p w14:paraId="21CDDEFE" w14:textId="77777777" w:rsidR="00F756BF" w:rsidRPr="0011419E" w:rsidRDefault="00F756BF" w:rsidP="00F756BF">
      <w:pPr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4. Maintain measures until further review</w:t>
      </w:r>
    </w:p>
    <w:p w14:paraId="71F077D5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>→ the State cannot lift protections unilaterally.</w:t>
      </w:r>
    </w:p>
    <w:p w14:paraId="3132241C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>This is one of the strongest findings the CRC can issue in an urgent situation.</w:t>
      </w:r>
    </w:p>
    <w:p w14:paraId="6BA01811" w14:textId="77777777" w:rsidR="00F756BF" w:rsidRPr="0011419E" w:rsidRDefault="00C46135" w:rsidP="00F756BF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38D8E024">
          <v:rect id="_x0000_i1029" alt="" style="width:453.6pt;height:.05pt;mso-width-percent:0;mso-height-percent:0;mso-width-percent:0;mso-height-percent:0" o:hralign="center" o:hrstd="t" o:hr="t" fillcolor="#a0a0a0" stroked="f"/>
        </w:pict>
      </w:r>
    </w:p>
    <w:p w14:paraId="77C83278" w14:textId="77777777" w:rsidR="00F756BF" w:rsidRPr="0011419E" w:rsidRDefault="00F756BF" w:rsidP="00F756BF">
      <w:pPr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V. Legal Analysis</w:t>
      </w:r>
    </w:p>
    <w:p w14:paraId="56450DD1" w14:textId="77777777" w:rsidR="00F756BF" w:rsidRPr="0011419E" w:rsidRDefault="00F756BF" w:rsidP="00F756BF">
      <w:pPr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1. Article 3 — Best Interests of the Child</w:t>
      </w:r>
    </w:p>
    <w:p w14:paraId="322FFE3E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 xml:space="preserve">CRC </w:t>
      </w:r>
      <w:proofErr w:type="spellStart"/>
      <w:r w:rsidRPr="0011419E">
        <w:rPr>
          <w:rFonts w:ascii="Book Antiqua" w:hAnsi="Book Antiqua"/>
        </w:rPr>
        <w:t>emphasised</w:t>
      </w:r>
      <w:proofErr w:type="spellEnd"/>
      <w:r w:rsidRPr="0011419E">
        <w:rPr>
          <w:rFonts w:ascii="Book Antiqua" w:hAnsi="Book Antiqua"/>
        </w:rPr>
        <w:t xml:space="preserve"> that </w:t>
      </w:r>
      <w:r w:rsidRPr="0011419E">
        <w:rPr>
          <w:rFonts w:ascii="Book Antiqua" w:hAnsi="Book Antiqua"/>
          <w:b/>
          <w:bCs/>
        </w:rPr>
        <w:t>deportation to a war-affected country</w:t>
      </w:r>
      <w:r w:rsidRPr="0011419E">
        <w:rPr>
          <w:rFonts w:ascii="Book Antiqua" w:hAnsi="Book Antiqua"/>
        </w:rPr>
        <w:t xml:space="preserve"> is incompatible with the child’s best interests.</w:t>
      </w:r>
    </w:p>
    <w:p w14:paraId="763958E7" w14:textId="77777777" w:rsidR="00F756BF" w:rsidRPr="0011419E" w:rsidRDefault="00F756BF" w:rsidP="00F756BF">
      <w:pPr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2. Article 9 — Family Unity</w:t>
      </w:r>
    </w:p>
    <w:p w14:paraId="11148198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>Forced separation from their father posed severe risk of emotional and psychological harm.</w:t>
      </w:r>
    </w:p>
    <w:p w14:paraId="5ABC5871" w14:textId="77777777" w:rsidR="00F756BF" w:rsidRPr="0011419E" w:rsidRDefault="00F756BF" w:rsidP="00F756BF">
      <w:pPr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3. Article 22 — Protection of Refugee Children</w:t>
      </w:r>
    </w:p>
    <w:p w14:paraId="0699D80C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>State must provide humanitarian protection without discrimination.</w:t>
      </w:r>
    </w:p>
    <w:p w14:paraId="5701F48A" w14:textId="77777777" w:rsidR="00F756BF" w:rsidRPr="0011419E" w:rsidRDefault="00F756BF" w:rsidP="00F756BF">
      <w:pPr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lastRenderedPageBreak/>
        <w:t>4. Article 37 — Protection from Arbitrary Detention</w:t>
      </w:r>
    </w:p>
    <w:p w14:paraId="010F241C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>Detention-like conditions without due safeguards violate the prohibition on cruelty or degrading treatment.</w:t>
      </w:r>
    </w:p>
    <w:p w14:paraId="3CE8EEB5" w14:textId="77777777" w:rsidR="00F756BF" w:rsidRPr="0011419E" w:rsidRDefault="00C46135" w:rsidP="00F756BF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731B9FF7">
          <v:rect id="_x0000_i1028" alt="" style="width:453.6pt;height:.05pt;mso-width-percent:0;mso-height-percent:0;mso-width-percent:0;mso-height-percent:0" o:hralign="center" o:hrstd="t" o:hr="t" fillcolor="#a0a0a0" stroked="f"/>
        </w:pict>
      </w:r>
    </w:p>
    <w:p w14:paraId="4F1A79DC" w14:textId="77777777" w:rsidR="00F756BF" w:rsidRPr="0011419E" w:rsidRDefault="00F756BF" w:rsidP="00F756BF">
      <w:pPr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VI. Patterns Identified</w:t>
      </w:r>
    </w:p>
    <w:p w14:paraId="45C1C5A3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>The case highlights broader systemic failures in Türkiye’s treatment of refugee children:</w:t>
      </w:r>
    </w:p>
    <w:p w14:paraId="35C7DA74" w14:textId="77777777" w:rsidR="00F756BF" w:rsidRPr="0011419E" w:rsidRDefault="00F756BF" w:rsidP="00F756BF">
      <w:pPr>
        <w:numPr>
          <w:ilvl w:val="0"/>
          <w:numId w:val="8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deportation decisions made without child-specific risk assessments,</w:t>
      </w:r>
    </w:p>
    <w:p w14:paraId="4F145E9E" w14:textId="77777777" w:rsidR="00F756BF" w:rsidRPr="0011419E" w:rsidRDefault="00F756BF" w:rsidP="00F756BF">
      <w:pPr>
        <w:numPr>
          <w:ilvl w:val="0"/>
          <w:numId w:val="8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administrative custody conditions inappropriate for minors,</w:t>
      </w:r>
    </w:p>
    <w:p w14:paraId="5B7EC25E" w14:textId="77777777" w:rsidR="00F756BF" w:rsidRPr="0011419E" w:rsidRDefault="00F756BF" w:rsidP="00F756BF">
      <w:pPr>
        <w:numPr>
          <w:ilvl w:val="0"/>
          <w:numId w:val="8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lack of psychological or medical evaluation,</w:t>
      </w:r>
    </w:p>
    <w:p w14:paraId="28F36A5D" w14:textId="77777777" w:rsidR="00F756BF" w:rsidRPr="0011419E" w:rsidRDefault="00F756BF" w:rsidP="00F756BF">
      <w:pPr>
        <w:numPr>
          <w:ilvl w:val="0"/>
          <w:numId w:val="8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family separation used as de facto coercive measure,</w:t>
      </w:r>
    </w:p>
    <w:p w14:paraId="1D443FF0" w14:textId="77777777" w:rsidR="00F756BF" w:rsidRPr="0011419E" w:rsidRDefault="00F756BF" w:rsidP="00F756BF">
      <w:pPr>
        <w:numPr>
          <w:ilvl w:val="0"/>
          <w:numId w:val="8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inadequate access to lawyers.</w:t>
      </w:r>
    </w:p>
    <w:p w14:paraId="5E559EF8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>These patterns align with similar cases involving migrants from Syria, Iraq, Iran, and Afghanistan.</w:t>
      </w:r>
    </w:p>
    <w:p w14:paraId="15C0868F" w14:textId="77777777" w:rsidR="00F756BF" w:rsidRPr="0011419E" w:rsidRDefault="00C46135" w:rsidP="00F756BF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05D4AD3C">
          <v:rect id="_x0000_i1027" alt="" style="width:453.6pt;height:.05pt;mso-width-percent:0;mso-height-percent:0;mso-width-percent:0;mso-height-percent:0" o:hralign="center" o:hrstd="t" o:hr="t" fillcolor="#a0a0a0" stroked="f"/>
        </w:pict>
      </w:r>
    </w:p>
    <w:p w14:paraId="15F6D619" w14:textId="77777777" w:rsidR="00F756BF" w:rsidRPr="0011419E" w:rsidRDefault="00F756BF" w:rsidP="00F756BF">
      <w:pPr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VII. Impact Analysis</w:t>
      </w:r>
    </w:p>
    <w:p w14:paraId="39802EC3" w14:textId="77777777" w:rsidR="00F756BF" w:rsidRPr="0011419E" w:rsidRDefault="00F756BF" w:rsidP="00F756BF">
      <w:pPr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1. Precedent-setting</w:t>
      </w:r>
    </w:p>
    <w:p w14:paraId="058EB2BB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>CRC interim measures are rare → This case becomes a leading precedent for defending refugee children in Türkiye and the region.</w:t>
      </w:r>
    </w:p>
    <w:p w14:paraId="4E6B52C6" w14:textId="77777777" w:rsidR="00F756BF" w:rsidRPr="0011419E" w:rsidRDefault="00F756BF" w:rsidP="00F756BF">
      <w:pPr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2. Protection from refoulement</w:t>
      </w:r>
    </w:p>
    <w:p w14:paraId="06536188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>The decision reaffirms that deporting children to conflict zones violates international law.</w:t>
      </w:r>
    </w:p>
    <w:p w14:paraId="47D14B96" w14:textId="77777777" w:rsidR="00F756BF" w:rsidRPr="0011419E" w:rsidRDefault="00F756BF" w:rsidP="00F756BF">
      <w:pPr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3. Strengthening rights of detained minors</w:t>
      </w:r>
    </w:p>
    <w:p w14:paraId="434DA7A3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 xml:space="preserve">The CRC </w:t>
      </w:r>
      <w:proofErr w:type="spellStart"/>
      <w:r w:rsidRPr="0011419E">
        <w:rPr>
          <w:rFonts w:ascii="Book Antiqua" w:hAnsi="Book Antiqua"/>
        </w:rPr>
        <w:t>emphasised</w:t>
      </w:r>
      <w:proofErr w:type="spellEnd"/>
      <w:r w:rsidRPr="0011419E">
        <w:rPr>
          <w:rFonts w:ascii="Book Antiqua" w:hAnsi="Book Antiqua"/>
        </w:rPr>
        <w:t xml:space="preserve"> State responsibility to place children in </w:t>
      </w:r>
      <w:r w:rsidRPr="0011419E">
        <w:rPr>
          <w:rFonts w:ascii="Book Antiqua" w:hAnsi="Book Antiqua"/>
          <w:b/>
          <w:bCs/>
        </w:rPr>
        <w:t>child-appropriate facilities</w:t>
      </w:r>
      <w:r w:rsidRPr="0011419E">
        <w:rPr>
          <w:rFonts w:ascii="Book Antiqua" w:hAnsi="Book Antiqua"/>
        </w:rPr>
        <w:t>, not immigration-type detention.</w:t>
      </w:r>
    </w:p>
    <w:p w14:paraId="1524F282" w14:textId="77777777" w:rsidR="00F756BF" w:rsidRPr="0011419E" w:rsidRDefault="00F756BF" w:rsidP="00F756BF">
      <w:pPr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4. Family unity principle reinforced</w:t>
      </w:r>
    </w:p>
    <w:p w14:paraId="457813FB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>A crucial finding: children must be allowed regular access to their detained parent.</w:t>
      </w:r>
    </w:p>
    <w:p w14:paraId="2AA36B36" w14:textId="77777777" w:rsidR="00F756BF" w:rsidRPr="0011419E" w:rsidRDefault="00F756BF" w:rsidP="00F756BF">
      <w:pPr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5. Strategic litigation leverage</w:t>
      </w:r>
    </w:p>
    <w:p w14:paraId="5A54C717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>This interim measure can be used in:</w:t>
      </w:r>
    </w:p>
    <w:p w14:paraId="01669A58" w14:textId="77777777" w:rsidR="00F756BF" w:rsidRPr="0011419E" w:rsidRDefault="00F756BF" w:rsidP="00F756BF">
      <w:pPr>
        <w:numPr>
          <w:ilvl w:val="0"/>
          <w:numId w:val="9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domestic asylum litigation,</w:t>
      </w:r>
    </w:p>
    <w:p w14:paraId="583BE567" w14:textId="77777777" w:rsidR="00F756BF" w:rsidRPr="0011419E" w:rsidRDefault="00F756BF" w:rsidP="00F756BF">
      <w:pPr>
        <w:numPr>
          <w:ilvl w:val="0"/>
          <w:numId w:val="9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lastRenderedPageBreak/>
        <w:t>immigration appeals,</w:t>
      </w:r>
    </w:p>
    <w:p w14:paraId="0CDC8C8B" w14:textId="77777777" w:rsidR="00F756BF" w:rsidRPr="0011419E" w:rsidRDefault="00F756BF" w:rsidP="00F756BF">
      <w:pPr>
        <w:numPr>
          <w:ilvl w:val="0"/>
          <w:numId w:val="9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ECtHR Article 3 cases,</w:t>
      </w:r>
    </w:p>
    <w:p w14:paraId="04087390" w14:textId="77777777" w:rsidR="00F756BF" w:rsidRPr="0011419E" w:rsidRDefault="00F756BF" w:rsidP="00F756BF">
      <w:pPr>
        <w:numPr>
          <w:ilvl w:val="0"/>
          <w:numId w:val="9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WGAD refugee cases,</w:t>
      </w:r>
    </w:p>
    <w:p w14:paraId="5345FE3A" w14:textId="77777777" w:rsidR="00F756BF" w:rsidRPr="0011419E" w:rsidRDefault="00F756BF" w:rsidP="00F756BF">
      <w:pPr>
        <w:numPr>
          <w:ilvl w:val="0"/>
          <w:numId w:val="9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future CRC submissions.</w:t>
      </w:r>
    </w:p>
    <w:p w14:paraId="3F36E9A3" w14:textId="77777777" w:rsidR="00F756BF" w:rsidRPr="0011419E" w:rsidRDefault="00C46135" w:rsidP="00F756BF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4B069CDB"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14:paraId="38ADE1A4" w14:textId="77777777" w:rsidR="00F756BF" w:rsidRPr="0011419E" w:rsidRDefault="00F756BF" w:rsidP="00F756BF">
      <w:pPr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VIII. Recommendations</w:t>
      </w:r>
    </w:p>
    <w:p w14:paraId="01B618BD" w14:textId="77777777" w:rsidR="00F756BF" w:rsidRPr="0011419E" w:rsidRDefault="00F756BF" w:rsidP="00F756BF">
      <w:pPr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To States:</w:t>
      </w:r>
    </w:p>
    <w:p w14:paraId="41DFBB10" w14:textId="77777777" w:rsidR="00F756BF" w:rsidRPr="0011419E" w:rsidRDefault="00F756BF" w:rsidP="00F756BF">
      <w:pPr>
        <w:numPr>
          <w:ilvl w:val="0"/>
          <w:numId w:val="10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Ensure no child is deported to areas with active conflict.</w:t>
      </w:r>
    </w:p>
    <w:p w14:paraId="3F183BB1" w14:textId="77777777" w:rsidR="00F756BF" w:rsidRPr="0011419E" w:rsidRDefault="00F756BF" w:rsidP="00F756BF">
      <w:pPr>
        <w:numPr>
          <w:ilvl w:val="0"/>
          <w:numId w:val="10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Provide appropriate child-friendly facilities.</w:t>
      </w:r>
    </w:p>
    <w:p w14:paraId="1FB6CED8" w14:textId="77777777" w:rsidR="00F756BF" w:rsidRPr="0011419E" w:rsidRDefault="00F756BF" w:rsidP="00F756BF">
      <w:pPr>
        <w:numPr>
          <w:ilvl w:val="0"/>
          <w:numId w:val="10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End arbitrary separation of families.</w:t>
      </w:r>
    </w:p>
    <w:p w14:paraId="4329EA44" w14:textId="77777777" w:rsidR="00F756BF" w:rsidRPr="0011419E" w:rsidRDefault="00F756BF" w:rsidP="00F756BF">
      <w:pPr>
        <w:numPr>
          <w:ilvl w:val="0"/>
          <w:numId w:val="10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 xml:space="preserve">Conduct </w:t>
      </w:r>
      <w:proofErr w:type="spellStart"/>
      <w:r w:rsidRPr="0011419E">
        <w:rPr>
          <w:rFonts w:ascii="Book Antiqua" w:hAnsi="Book Antiqua"/>
        </w:rPr>
        <w:t>individualised</w:t>
      </w:r>
      <w:proofErr w:type="spellEnd"/>
      <w:r w:rsidRPr="0011419E">
        <w:rPr>
          <w:rFonts w:ascii="Book Antiqua" w:hAnsi="Book Antiqua"/>
        </w:rPr>
        <w:t xml:space="preserve"> best-interest assessments.</w:t>
      </w:r>
    </w:p>
    <w:p w14:paraId="3A0D1C94" w14:textId="77777777" w:rsidR="00F756BF" w:rsidRPr="0011419E" w:rsidRDefault="00F756BF" w:rsidP="00F756BF">
      <w:pPr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To NGOs and Litigation Actors:</w:t>
      </w:r>
    </w:p>
    <w:p w14:paraId="240E267F" w14:textId="77777777" w:rsidR="00F756BF" w:rsidRPr="0011419E" w:rsidRDefault="00F756BF" w:rsidP="00F756BF">
      <w:pPr>
        <w:numPr>
          <w:ilvl w:val="0"/>
          <w:numId w:val="11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Use this case to challenge child deportations.</w:t>
      </w:r>
    </w:p>
    <w:p w14:paraId="4DE7899D" w14:textId="77777777" w:rsidR="00F756BF" w:rsidRPr="0011419E" w:rsidRDefault="00F756BF" w:rsidP="00F756BF">
      <w:pPr>
        <w:numPr>
          <w:ilvl w:val="0"/>
          <w:numId w:val="11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Document detention conditions for minors.</w:t>
      </w:r>
    </w:p>
    <w:p w14:paraId="46971DB5" w14:textId="77777777" w:rsidR="00F756BF" w:rsidRPr="0011419E" w:rsidRDefault="00F756BF" w:rsidP="00F756BF">
      <w:pPr>
        <w:numPr>
          <w:ilvl w:val="0"/>
          <w:numId w:val="11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Build collaborative litigation around refugee children.</w:t>
      </w:r>
    </w:p>
    <w:p w14:paraId="2E5B8225" w14:textId="77777777" w:rsidR="00F756BF" w:rsidRPr="0011419E" w:rsidRDefault="00F756BF" w:rsidP="00F756BF">
      <w:pPr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To International Bodies:</w:t>
      </w:r>
    </w:p>
    <w:p w14:paraId="079C93AC" w14:textId="77777777" w:rsidR="00F756BF" w:rsidRPr="0011419E" w:rsidRDefault="00F756BF" w:rsidP="00F756BF">
      <w:pPr>
        <w:numPr>
          <w:ilvl w:val="0"/>
          <w:numId w:val="12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Increase monitoring of migration practices affecting minors.</w:t>
      </w:r>
    </w:p>
    <w:p w14:paraId="1CD9D2E0" w14:textId="77777777" w:rsidR="00F756BF" w:rsidRPr="0011419E" w:rsidRDefault="00F756BF" w:rsidP="00F756BF">
      <w:pPr>
        <w:numPr>
          <w:ilvl w:val="0"/>
          <w:numId w:val="12"/>
        </w:numPr>
        <w:rPr>
          <w:rFonts w:ascii="Book Antiqua" w:hAnsi="Book Antiqua"/>
        </w:rPr>
      </w:pPr>
      <w:r w:rsidRPr="0011419E">
        <w:rPr>
          <w:rFonts w:ascii="Book Antiqua" w:hAnsi="Book Antiqua"/>
        </w:rPr>
        <w:t>Develop guidelines for safe accommodation for detained children.</w:t>
      </w:r>
    </w:p>
    <w:p w14:paraId="6B7BA75A" w14:textId="77777777" w:rsidR="00F756BF" w:rsidRPr="0011419E" w:rsidRDefault="00C46135" w:rsidP="00F756BF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57BC5107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01D00895" w14:textId="77777777" w:rsidR="00F756BF" w:rsidRPr="0011419E" w:rsidRDefault="00F756BF" w:rsidP="00F756BF">
      <w:pPr>
        <w:rPr>
          <w:rFonts w:ascii="Book Antiqua" w:hAnsi="Book Antiqua"/>
          <w:b/>
          <w:bCs/>
        </w:rPr>
      </w:pPr>
      <w:r w:rsidRPr="0011419E">
        <w:rPr>
          <w:rFonts w:ascii="Book Antiqua" w:hAnsi="Book Antiqua"/>
          <w:b/>
          <w:bCs/>
        </w:rPr>
        <w:t>IX. Conclusion</w:t>
      </w:r>
    </w:p>
    <w:p w14:paraId="24E5EA5D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>This case represents a landmark moment in child-rights protection in migration contexts.</w:t>
      </w:r>
      <w:r w:rsidRPr="0011419E">
        <w:rPr>
          <w:rFonts w:ascii="Book Antiqua" w:hAnsi="Book Antiqua"/>
        </w:rPr>
        <w:br/>
        <w:t>The CRC’s urgent intervention confirms that deportation, separation, and detention conditions violated the core principles of the Convention on the Rights of the Child.</w:t>
      </w:r>
    </w:p>
    <w:p w14:paraId="235CA80A" w14:textId="77777777" w:rsidR="00F756BF" w:rsidRPr="0011419E" w:rsidRDefault="00F756BF" w:rsidP="00F756BF">
      <w:pPr>
        <w:rPr>
          <w:rFonts w:ascii="Book Antiqua" w:hAnsi="Book Antiqua"/>
        </w:rPr>
      </w:pPr>
      <w:r w:rsidRPr="0011419E">
        <w:rPr>
          <w:rFonts w:ascii="Book Antiqua" w:hAnsi="Book Antiqua"/>
        </w:rPr>
        <w:t>The decision strengthens regional and international advocacy to safeguard the rights of vulnerable refugee children and reinforces the role of strategic litigation in preventing irreparable harm.</w:t>
      </w:r>
    </w:p>
    <w:p w14:paraId="36A95240" w14:textId="77777777" w:rsidR="00F80924" w:rsidRPr="0011419E" w:rsidRDefault="00F80924">
      <w:pPr>
        <w:rPr>
          <w:rFonts w:ascii="Book Antiqua" w:hAnsi="Book Antiqua"/>
        </w:rPr>
      </w:pPr>
    </w:p>
    <w:sectPr w:rsidR="00F80924" w:rsidRPr="0011419E">
      <w:footerReference w:type="even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29E528" w14:textId="77777777" w:rsidR="00C46135" w:rsidRDefault="00C46135" w:rsidP="0011419E">
      <w:pPr>
        <w:spacing w:after="0" w:line="240" w:lineRule="auto"/>
      </w:pPr>
      <w:r>
        <w:separator/>
      </w:r>
    </w:p>
  </w:endnote>
  <w:endnote w:type="continuationSeparator" w:id="0">
    <w:p w14:paraId="780D7246" w14:textId="77777777" w:rsidR="00C46135" w:rsidRDefault="00C46135" w:rsidP="00114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ayfaNumaras"/>
      </w:rPr>
      <w:id w:val="-1952380785"/>
      <w:docPartObj>
        <w:docPartGallery w:val="Page Numbers (Bottom of Page)"/>
        <w:docPartUnique/>
      </w:docPartObj>
    </w:sdtPr>
    <w:sdtContent>
      <w:p w14:paraId="212EA68E" w14:textId="5D2A9634" w:rsidR="0011419E" w:rsidRDefault="0011419E" w:rsidP="00AA4E1A">
        <w:pPr>
          <w:pStyle w:val="AltBilgi"/>
          <w:framePr w:wrap="none" w:vAnchor="text" w:hAnchor="margin" w:xAlign="center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78384151" w14:textId="77777777" w:rsidR="0011419E" w:rsidRDefault="0011419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ayfaNumaras"/>
      </w:rPr>
      <w:id w:val="1419751140"/>
      <w:docPartObj>
        <w:docPartGallery w:val="Page Numbers (Bottom of Page)"/>
        <w:docPartUnique/>
      </w:docPartObj>
    </w:sdtPr>
    <w:sdtContent>
      <w:p w14:paraId="0B7D5888" w14:textId="51121D23" w:rsidR="0011419E" w:rsidRDefault="0011419E" w:rsidP="00AA4E1A">
        <w:pPr>
          <w:pStyle w:val="AltBilgi"/>
          <w:framePr w:wrap="none" w:vAnchor="text" w:hAnchor="margin" w:xAlign="center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separate"/>
        </w:r>
        <w:r>
          <w:rPr>
            <w:rStyle w:val="SayfaNumaras"/>
            <w:noProof/>
          </w:rPr>
          <w:t>1</w:t>
        </w:r>
        <w:r>
          <w:rPr>
            <w:rStyle w:val="SayfaNumaras"/>
          </w:rPr>
          <w:fldChar w:fldCharType="end"/>
        </w:r>
      </w:p>
    </w:sdtContent>
  </w:sdt>
  <w:p w14:paraId="3DBCB520" w14:textId="77777777" w:rsidR="0011419E" w:rsidRDefault="0011419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3D0FD6" w14:textId="77777777" w:rsidR="00C46135" w:rsidRDefault="00C46135" w:rsidP="0011419E">
      <w:pPr>
        <w:spacing w:after="0" w:line="240" w:lineRule="auto"/>
      </w:pPr>
      <w:r>
        <w:separator/>
      </w:r>
    </w:p>
  </w:footnote>
  <w:footnote w:type="continuationSeparator" w:id="0">
    <w:p w14:paraId="0F089EDB" w14:textId="77777777" w:rsidR="00C46135" w:rsidRDefault="00C46135" w:rsidP="001141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D6293"/>
    <w:multiLevelType w:val="multilevel"/>
    <w:tmpl w:val="DFDA3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E11321"/>
    <w:multiLevelType w:val="multilevel"/>
    <w:tmpl w:val="3CCA7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EE7224"/>
    <w:multiLevelType w:val="multilevel"/>
    <w:tmpl w:val="576AE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A047C5"/>
    <w:multiLevelType w:val="multilevel"/>
    <w:tmpl w:val="331AF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271B54"/>
    <w:multiLevelType w:val="multilevel"/>
    <w:tmpl w:val="273EE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070C46"/>
    <w:multiLevelType w:val="multilevel"/>
    <w:tmpl w:val="2D1E5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A311B9"/>
    <w:multiLevelType w:val="multilevel"/>
    <w:tmpl w:val="3BC20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B5549C"/>
    <w:multiLevelType w:val="multilevel"/>
    <w:tmpl w:val="47169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3D30E8"/>
    <w:multiLevelType w:val="multilevel"/>
    <w:tmpl w:val="EB7C8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EE6B8A"/>
    <w:multiLevelType w:val="multilevel"/>
    <w:tmpl w:val="D1B48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E825E6"/>
    <w:multiLevelType w:val="multilevel"/>
    <w:tmpl w:val="49D26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BC2983"/>
    <w:multiLevelType w:val="multilevel"/>
    <w:tmpl w:val="5CBCF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75026197">
    <w:abstractNumId w:val="3"/>
  </w:num>
  <w:num w:numId="2" w16cid:durableId="1941256223">
    <w:abstractNumId w:val="2"/>
  </w:num>
  <w:num w:numId="3" w16cid:durableId="1175808438">
    <w:abstractNumId w:val="8"/>
  </w:num>
  <w:num w:numId="4" w16cid:durableId="559755492">
    <w:abstractNumId w:val="7"/>
  </w:num>
  <w:num w:numId="5" w16cid:durableId="1749301104">
    <w:abstractNumId w:val="9"/>
  </w:num>
  <w:num w:numId="6" w16cid:durableId="1534462713">
    <w:abstractNumId w:val="11"/>
  </w:num>
  <w:num w:numId="7" w16cid:durableId="1884632266">
    <w:abstractNumId w:val="6"/>
  </w:num>
  <w:num w:numId="8" w16cid:durableId="1668290804">
    <w:abstractNumId w:val="10"/>
  </w:num>
  <w:num w:numId="9" w16cid:durableId="1184201663">
    <w:abstractNumId w:val="0"/>
  </w:num>
  <w:num w:numId="10" w16cid:durableId="263192632">
    <w:abstractNumId w:val="5"/>
  </w:num>
  <w:num w:numId="11" w16cid:durableId="716005432">
    <w:abstractNumId w:val="4"/>
  </w:num>
  <w:num w:numId="12" w16cid:durableId="8456374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6BF"/>
    <w:rsid w:val="0011419E"/>
    <w:rsid w:val="002C11DB"/>
    <w:rsid w:val="004D4E5C"/>
    <w:rsid w:val="006806B7"/>
    <w:rsid w:val="00C46135"/>
    <w:rsid w:val="00F756BF"/>
    <w:rsid w:val="00F80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02844"/>
  <w15:chartTrackingRefBased/>
  <w15:docId w15:val="{44B96FED-2179-4142-A7D8-25701CC20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Balk1">
    <w:name w:val="heading 1"/>
    <w:basedOn w:val="Normal"/>
    <w:next w:val="Normal"/>
    <w:link w:val="Balk1Char"/>
    <w:uiPriority w:val="9"/>
    <w:qFormat/>
    <w:rsid w:val="00F756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756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756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756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756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756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756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756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756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756BF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756BF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F756BF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756BF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756BF"/>
    <w:rPr>
      <w:rFonts w:eastAsiaTheme="majorEastAsia" w:cstheme="majorBidi"/>
      <w:color w:val="0F4761" w:themeColor="accent1" w:themeShade="BF"/>
      <w:lang w:val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756BF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756BF"/>
    <w:rPr>
      <w:rFonts w:eastAsiaTheme="majorEastAsia" w:cstheme="majorBidi"/>
      <w:color w:val="595959" w:themeColor="text1" w:themeTint="A6"/>
      <w:lang w:val="en-US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756BF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756BF"/>
    <w:rPr>
      <w:rFonts w:eastAsiaTheme="majorEastAsia" w:cstheme="majorBidi"/>
      <w:color w:val="272727" w:themeColor="text1" w:themeTint="D8"/>
      <w:lang w:val="en-US"/>
    </w:rPr>
  </w:style>
  <w:style w:type="paragraph" w:styleId="KonuBal">
    <w:name w:val="Title"/>
    <w:basedOn w:val="Normal"/>
    <w:next w:val="Normal"/>
    <w:link w:val="KonuBalChar"/>
    <w:uiPriority w:val="10"/>
    <w:qFormat/>
    <w:rsid w:val="00F756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756BF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Altyaz">
    <w:name w:val="Subtitle"/>
    <w:basedOn w:val="Normal"/>
    <w:next w:val="Normal"/>
    <w:link w:val="AltyazChar"/>
    <w:uiPriority w:val="11"/>
    <w:qFormat/>
    <w:rsid w:val="00F756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F756BF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Alnt">
    <w:name w:val="Quote"/>
    <w:basedOn w:val="Normal"/>
    <w:next w:val="Normal"/>
    <w:link w:val="AlntChar"/>
    <w:uiPriority w:val="29"/>
    <w:qFormat/>
    <w:rsid w:val="00F756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F756BF"/>
    <w:rPr>
      <w:i/>
      <w:iCs/>
      <w:color w:val="404040" w:themeColor="text1" w:themeTint="BF"/>
      <w:lang w:val="en-US"/>
    </w:rPr>
  </w:style>
  <w:style w:type="paragraph" w:styleId="ListeParagraf">
    <w:name w:val="List Paragraph"/>
    <w:basedOn w:val="Normal"/>
    <w:uiPriority w:val="34"/>
    <w:qFormat/>
    <w:rsid w:val="00F756BF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F756BF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F756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F756BF"/>
    <w:rPr>
      <w:i/>
      <w:iCs/>
      <w:color w:val="0F4761" w:themeColor="accent1" w:themeShade="BF"/>
      <w:lang w:val="en-US"/>
    </w:rPr>
  </w:style>
  <w:style w:type="character" w:styleId="GlBavuru">
    <w:name w:val="Intense Reference"/>
    <w:basedOn w:val="VarsaylanParagrafYazTipi"/>
    <w:uiPriority w:val="32"/>
    <w:qFormat/>
    <w:rsid w:val="00F756BF"/>
    <w:rPr>
      <w:b/>
      <w:bCs/>
      <w:smallCaps/>
      <w:color w:val="0F476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14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1419E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114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1419E"/>
    <w:rPr>
      <w:lang w:val="en-US"/>
    </w:rPr>
  </w:style>
  <w:style w:type="character" w:styleId="SayfaNumaras">
    <w:name w:val="page number"/>
    <w:basedOn w:val="VarsaylanParagrafYazTipi"/>
    <w:uiPriority w:val="99"/>
    <w:semiHidden/>
    <w:unhideWhenUsed/>
    <w:rsid w:val="001141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83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934</Words>
  <Characters>5330</Characters>
  <Application>Microsoft Office Word</Application>
  <DocSecurity>0</DocSecurity>
  <Lines>44</Lines>
  <Paragraphs>12</Paragraphs>
  <ScaleCrop>false</ScaleCrop>
  <Company/>
  <LinksUpToDate>false</LinksUpToDate>
  <CharactersWithSpaces>6252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8738</dc:creator>
  <cp:keywords/>
  <dc:description/>
  <cp:lastModifiedBy>8738</cp:lastModifiedBy>
  <cp:revision>2</cp:revision>
  <dcterms:created xsi:type="dcterms:W3CDTF">2025-12-01T16:18:00Z</dcterms:created>
  <dcterms:modified xsi:type="dcterms:W3CDTF">2025-12-01T18:38:00Z</dcterms:modified>
</cp:coreProperties>
</file>