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384205" w14:textId="134981C0" w:rsidR="008C2EBE" w:rsidRDefault="00C24A61" w:rsidP="008C2EBE">
      <w:pPr>
        <w:jc w:val="center"/>
        <w:rPr>
          <w:rFonts w:ascii="Book Antiqua" w:hAnsi="Book Antiqua"/>
          <w:b/>
          <w:bCs/>
        </w:rPr>
      </w:pPr>
      <w:r>
        <w:rPr>
          <w:rFonts w:ascii="Book Antiqua" w:hAnsi="Book Antiqua"/>
          <w:noProof/>
        </w:rPr>
        <w:pict w14:anchorId="0603649E">
          <v:rect id="_x0000_i1038" alt="" style="width:453.6pt;height:.05pt;mso-width-percent:0;mso-height-percent:0;mso-width-percent:0;mso-height-percent:0" o:hralign="center" o:hrstd="t" o:hr="t" fillcolor="#a0a0a0" stroked="f"/>
        </w:pict>
      </w:r>
    </w:p>
    <w:p w14:paraId="275BCDAC" w14:textId="249C10AB" w:rsidR="008C2EBE" w:rsidRPr="00DA2827" w:rsidRDefault="008C2EBE" w:rsidP="008C2EBE">
      <w:pPr>
        <w:jc w:val="center"/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 xml:space="preserve">HUMAN RIGHTS COMMITTEE LITIGATION REPORT </w:t>
      </w:r>
    </w:p>
    <w:p w14:paraId="07EE01BA" w14:textId="77777777" w:rsidR="008C2EBE" w:rsidRPr="00DA2827" w:rsidRDefault="008C2EBE" w:rsidP="008C2EBE">
      <w:pPr>
        <w:jc w:val="center"/>
        <w:rPr>
          <w:rFonts w:ascii="Book Antiqua" w:hAnsi="Book Antiqua"/>
        </w:rPr>
      </w:pPr>
      <w:r w:rsidRPr="00DA2827">
        <w:rPr>
          <w:rFonts w:ascii="Book Antiqua" w:hAnsi="Book Antiqua"/>
          <w:b/>
          <w:bCs/>
        </w:rPr>
        <w:t>Strategic Litigation Center — Comprehensive Analysis Report</w:t>
      </w:r>
    </w:p>
    <w:p w14:paraId="5F74D19E" w14:textId="18A81044" w:rsidR="008C2EBE" w:rsidRDefault="008C2EBE" w:rsidP="008C2EBE">
      <w:pPr>
        <w:jc w:val="center"/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(2019–2025)</w:t>
      </w:r>
    </w:p>
    <w:p w14:paraId="05024779" w14:textId="0097F51F" w:rsidR="008C2EBE" w:rsidRDefault="00C24A61" w:rsidP="00DA2827">
      <w:pPr>
        <w:rPr>
          <w:rFonts w:ascii="Book Antiqua" w:hAnsi="Book Antiqua"/>
          <w:b/>
          <w:bCs/>
        </w:rPr>
      </w:pPr>
      <w:r>
        <w:rPr>
          <w:rFonts w:ascii="Book Antiqua" w:hAnsi="Book Antiqua"/>
          <w:noProof/>
        </w:rPr>
        <w:pict w14:anchorId="60A36832">
          <v:rect id="_x0000_i1037" alt="" style="width:453.6pt;height:.05pt;mso-width-percent:0;mso-height-percent:0;mso-width-percent:0;mso-height-percent:0" o:hralign="center" o:hrstd="t" o:hr="t" fillcolor="#a0a0a0" stroked="f"/>
        </w:pict>
      </w:r>
    </w:p>
    <w:p w14:paraId="1D9CA596" w14:textId="77777777" w:rsidR="008C2EBE" w:rsidRDefault="008C2EBE" w:rsidP="00DA2827">
      <w:pPr>
        <w:rPr>
          <w:rFonts w:ascii="Book Antiqua" w:hAnsi="Book Antiqua"/>
          <w:b/>
          <w:bCs/>
        </w:rPr>
      </w:pPr>
    </w:p>
    <w:p w14:paraId="33E57A31" w14:textId="77777777" w:rsidR="008C2EBE" w:rsidRDefault="008C2EBE" w:rsidP="00DA2827">
      <w:pPr>
        <w:rPr>
          <w:rFonts w:ascii="Book Antiqua" w:hAnsi="Book Antiqua"/>
          <w:b/>
          <w:bCs/>
        </w:rPr>
      </w:pPr>
    </w:p>
    <w:p w14:paraId="21AC747E" w14:textId="044C80EF" w:rsidR="008C2EBE" w:rsidRDefault="008C2EBE" w:rsidP="00DA2827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  <w:noProof/>
        </w:rPr>
        <w:drawing>
          <wp:inline distT="0" distB="0" distL="0" distR="0" wp14:anchorId="05FB105E" wp14:editId="38BAB3E8">
            <wp:extent cx="5760720" cy="4990641"/>
            <wp:effectExtent l="0" t="0" r="5080" b="635"/>
            <wp:docPr id="1663729819" name="Resim 1" descr="metin, yazı tipi, logo, simge, sembo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29819" name="Resim 1" descr="metin, yazı tipi, logo, simge, sembol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915" cy="501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7B9F7" w14:textId="6DE52BA6" w:rsidR="008C2EBE" w:rsidRDefault="00C24A61" w:rsidP="00DA2827">
      <w:pPr>
        <w:rPr>
          <w:rFonts w:ascii="Book Antiqua" w:hAnsi="Book Antiqua"/>
          <w:b/>
          <w:bCs/>
        </w:rPr>
      </w:pPr>
      <w:r>
        <w:rPr>
          <w:rFonts w:ascii="Book Antiqua" w:hAnsi="Book Antiqua"/>
          <w:noProof/>
        </w:rPr>
        <w:pict w14:anchorId="0BC87CF7">
          <v:rect id="_x0000_i1036" alt="" style="width:453.6pt;height:.05pt;mso-width-percent:0;mso-height-percent:0;mso-width-percent:0;mso-height-percent:0" o:hralign="center" o:hrstd="t" o:hr="t" fillcolor="#a0a0a0" stroked="f"/>
        </w:pict>
      </w:r>
    </w:p>
    <w:p w14:paraId="037AF24C" w14:textId="38EA0AE6" w:rsidR="008C2EBE" w:rsidRDefault="008C2EBE" w:rsidP="008C2EBE">
      <w:pPr>
        <w:jc w:val="center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Preprepared By</w:t>
      </w:r>
    </w:p>
    <w:p w14:paraId="6C8DE85E" w14:textId="1CE3E2C0" w:rsidR="008C2EBE" w:rsidRDefault="008C2EBE" w:rsidP="008C2EBE">
      <w:pPr>
        <w:jc w:val="center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STRATEGIC LITIGATION CENTER TEAM</w:t>
      </w:r>
    </w:p>
    <w:p w14:paraId="520ED1D5" w14:textId="77777777" w:rsidR="008C2EBE" w:rsidRDefault="008C2EBE" w:rsidP="00DA2827">
      <w:pPr>
        <w:rPr>
          <w:rFonts w:ascii="Book Antiqua" w:hAnsi="Book Antiqua"/>
          <w:b/>
          <w:bCs/>
        </w:rPr>
      </w:pPr>
    </w:p>
    <w:p w14:paraId="4646A044" w14:textId="5815A8E9" w:rsidR="00DA2827" w:rsidRPr="00DA2827" w:rsidRDefault="00C24A61" w:rsidP="00DA2827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2B172A43">
          <v:rect id="_x0000_i1035" alt="" style="width:453.6pt;height:.05pt;mso-width-percent:0;mso-height-percent:0;mso-width-percent:0;mso-height-percent:0" o:hralign="center" o:hrstd="t" o:hr="t" fillcolor="#a0a0a0" stroked="f"/>
        </w:pict>
      </w:r>
    </w:p>
    <w:p w14:paraId="1E7F21B4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lastRenderedPageBreak/>
        <w:t>I. Executive Summary</w:t>
      </w:r>
    </w:p>
    <w:p w14:paraId="0E3CB76F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 xml:space="preserve">This report provides an extensive analysis of three major individual communications brought before the United Nations Human Rights Committee (HRC) between 2019 and 2025. These include </w:t>
      </w:r>
      <w:r w:rsidRPr="00DA2827">
        <w:rPr>
          <w:rFonts w:ascii="Book Antiqua" w:hAnsi="Book Antiqua"/>
          <w:b/>
          <w:bCs/>
        </w:rPr>
        <w:t>Communication No. 3592/2019</w:t>
      </w:r>
      <w:r w:rsidRPr="00DA2827">
        <w:rPr>
          <w:rFonts w:ascii="Book Antiqua" w:hAnsi="Book Antiqua"/>
        </w:rPr>
        <w:t xml:space="preserve">, </w:t>
      </w:r>
      <w:r w:rsidRPr="00DA2827">
        <w:rPr>
          <w:rFonts w:ascii="Book Antiqua" w:hAnsi="Book Antiqua"/>
          <w:b/>
          <w:bCs/>
        </w:rPr>
        <w:t>No. 3736/2020</w:t>
      </w:r>
      <w:r w:rsidRPr="00DA2827">
        <w:rPr>
          <w:rFonts w:ascii="Book Antiqua" w:hAnsi="Book Antiqua"/>
        </w:rPr>
        <w:t xml:space="preserve">, and </w:t>
      </w:r>
      <w:r w:rsidRPr="00DA2827">
        <w:rPr>
          <w:rFonts w:ascii="Book Antiqua" w:hAnsi="Book Antiqua"/>
          <w:b/>
          <w:bCs/>
        </w:rPr>
        <w:t>No. 3947/2021</w:t>
      </w:r>
      <w:r w:rsidRPr="00DA2827">
        <w:rPr>
          <w:rFonts w:ascii="Book Antiqua" w:hAnsi="Book Antiqua"/>
        </w:rPr>
        <w:t>. Together, these cases reveal systemic failures in Türkiye’s criminal justice framework, including arbitrary detention, denial of access to counsel, incommunicado detention, digital-repression–based prosecution, discrimination, and the improper use of counter-terrorism laws.</w:t>
      </w:r>
    </w:p>
    <w:p w14:paraId="4A55C3E9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 xml:space="preserve">The HRC found violations of </w:t>
      </w:r>
      <w:r w:rsidRPr="00DA2827">
        <w:rPr>
          <w:rFonts w:ascii="Book Antiqua" w:hAnsi="Book Antiqua"/>
          <w:b/>
          <w:bCs/>
        </w:rPr>
        <w:t>Articles 9, 14, 15, 17, 26</w:t>
      </w:r>
      <w:r w:rsidRPr="00DA2827">
        <w:rPr>
          <w:rFonts w:ascii="Book Antiqua" w:hAnsi="Book Antiqua"/>
        </w:rPr>
        <w:t xml:space="preserve"> of the ICCPR, </w:t>
      </w:r>
      <w:proofErr w:type="spellStart"/>
      <w:r w:rsidRPr="00DA2827">
        <w:rPr>
          <w:rFonts w:ascii="Book Antiqua" w:hAnsi="Book Antiqua"/>
        </w:rPr>
        <w:t>signalling</w:t>
      </w:r>
      <w:proofErr w:type="spellEnd"/>
      <w:r w:rsidRPr="00DA2827">
        <w:rPr>
          <w:rFonts w:ascii="Book Antiqua" w:hAnsi="Book Antiqua"/>
        </w:rPr>
        <w:t xml:space="preserve"> structural erosion of due process and legality principles.</w:t>
      </w:r>
      <w:r w:rsidRPr="00DA2827">
        <w:rPr>
          <w:rFonts w:ascii="Book Antiqua" w:hAnsi="Book Antiqua"/>
        </w:rPr>
        <w:br/>
        <w:t>This report draws thematic lessons, identifies regional patterns, evaluates legal impact, and proposes strategic recommendations.</w:t>
      </w:r>
    </w:p>
    <w:p w14:paraId="5749B063" w14:textId="77777777" w:rsidR="00DA2827" w:rsidRPr="00DA2827" w:rsidRDefault="00C24A61" w:rsidP="00DA2827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32BD21E9">
          <v:rect id="_x0000_i1034" alt="" style="width:453.6pt;height:.05pt;mso-width-percent:0;mso-height-percent:0;mso-width-percent:0;mso-height-percent:0" o:hralign="center" o:hrstd="t" o:hr="t" fillcolor="#a0a0a0" stroked="f"/>
        </w:pict>
      </w:r>
    </w:p>
    <w:p w14:paraId="4100B1A3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II. Introduction</w:t>
      </w:r>
    </w:p>
    <w:p w14:paraId="52AB94BA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>Between 2019 and 2025, the Strategic Litigation Center filed key communications to the HRC in cases that highlight:</w:t>
      </w:r>
    </w:p>
    <w:p w14:paraId="1B758D99" w14:textId="77777777" w:rsidR="00DA2827" w:rsidRPr="00DA2827" w:rsidRDefault="00DA2827" w:rsidP="00DA2827">
      <w:pPr>
        <w:numPr>
          <w:ilvl w:val="0"/>
          <w:numId w:val="1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incommunicado detention,</w:t>
      </w:r>
    </w:p>
    <w:p w14:paraId="07C5DAE3" w14:textId="77777777" w:rsidR="00DA2827" w:rsidRPr="00DA2827" w:rsidRDefault="00DA2827" w:rsidP="00DA2827">
      <w:pPr>
        <w:numPr>
          <w:ilvl w:val="0"/>
          <w:numId w:val="1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denial of legal and medical access,</w:t>
      </w:r>
    </w:p>
    <w:p w14:paraId="4C6AE1B3" w14:textId="77777777" w:rsidR="00DA2827" w:rsidRPr="00DA2827" w:rsidRDefault="00DA2827" w:rsidP="00DA2827">
      <w:pPr>
        <w:numPr>
          <w:ilvl w:val="0"/>
          <w:numId w:val="1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 xml:space="preserve">retroactive </w:t>
      </w:r>
      <w:proofErr w:type="spellStart"/>
      <w:r w:rsidRPr="00DA2827">
        <w:rPr>
          <w:rFonts w:ascii="Book Antiqua" w:hAnsi="Book Antiqua"/>
        </w:rPr>
        <w:t>criminalisation</w:t>
      </w:r>
      <w:proofErr w:type="spellEnd"/>
      <w:r w:rsidRPr="00DA2827">
        <w:rPr>
          <w:rFonts w:ascii="Book Antiqua" w:hAnsi="Book Antiqua"/>
        </w:rPr>
        <w:t>,</w:t>
      </w:r>
    </w:p>
    <w:p w14:paraId="3B616273" w14:textId="77777777" w:rsidR="00DA2827" w:rsidRPr="00DA2827" w:rsidRDefault="00DA2827" w:rsidP="00DA2827">
      <w:pPr>
        <w:numPr>
          <w:ilvl w:val="0"/>
          <w:numId w:val="1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discriminatory law enforcement,</w:t>
      </w:r>
    </w:p>
    <w:p w14:paraId="220AA820" w14:textId="77777777" w:rsidR="00DA2827" w:rsidRPr="00DA2827" w:rsidRDefault="00DA2827" w:rsidP="00DA2827">
      <w:pPr>
        <w:numPr>
          <w:ilvl w:val="0"/>
          <w:numId w:val="1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digital surveillance and metadata-based accusations,</w:t>
      </w:r>
    </w:p>
    <w:p w14:paraId="0DE09F02" w14:textId="77777777" w:rsidR="00DA2827" w:rsidRPr="00DA2827" w:rsidRDefault="00DA2827" w:rsidP="00DA2827">
      <w:pPr>
        <w:numPr>
          <w:ilvl w:val="0"/>
          <w:numId w:val="1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prolonged pretrial detention without judicial control.</w:t>
      </w:r>
    </w:p>
    <w:p w14:paraId="7D40B8DC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>These cases provide insight into State practices violating the ICCPR in a systematic and predictable manner.</w:t>
      </w:r>
    </w:p>
    <w:p w14:paraId="3700C569" w14:textId="77777777" w:rsidR="00DA2827" w:rsidRPr="00DA2827" w:rsidRDefault="00C24A61" w:rsidP="00DA2827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1CCAABC2">
          <v:rect id="_x0000_i1033" alt="" style="width:453.6pt;height:.05pt;mso-width-percent:0;mso-height-percent:0;mso-width-percent:0;mso-height-percent:0" o:hralign="center" o:hrstd="t" o:hr="t" fillcolor="#a0a0a0" stroked="f"/>
        </w:pict>
      </w:r>
    </w:p>
    <w:p w14:paraId="33A21FCB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III. Methodology</w:t>
      </w:r>
    </w:p>
    <w:p w14:paraId="6DAA6FA2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>This report is based on:</w:t>
      </w:r>
    </w:p>
    <w:p w14:paraId="3E897F3B" w14:textId="77777777" w:rsidR="00DA2827" w:rsidRPr="00DA2827" w:rsidRDefault="00DA2827" w:rsidP="00DA2827">
      <w:pPr>
        <w:numPr>
          <w:ilvl w:val="0"/>
          <w:numId w:val="2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official HRC Views</w:t>
      </w:r>
    </w:p>
    <w:p w14:paraId="3BE2CB22" w14:textId="77777777" w:rsidR="00DA2827" w:rsidRPr="00DA2827" w:rsidRDefault="00DA2827" w:rsidP="00DA2827">
      <w:pPr>
        <w:numPr>
          <w:ilvl w:val="0"/>
          <w:numId w:val="2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interim measure decisions</w:t>
      </w:r>
    </w:p>
    <w:p w14:paraId="0697A2E2" w14:textId="77777777" w:rsidR="00DA2827" w:rsidRPr="00DA2827" w:rsidRDefault="00DA2827" w:rsidP="00DA2827">
      <w:pPr>
        <w:numPr>
          <w:ilvl w:val="0"/>
          <w:numId w:val="2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State submissions (when available)</w:t>
      </w:r>
    </w:p>
    <w:p w14:paraId="02506F2E" w14:textId="77777777" w:rsidR="00DA2827" w:rsidRPr="00DA2827" w:rsidRDefault="00DA2827" w:rsidP="00DA2827">
      <w:pPr>
        <w:numPr>
          <w:ilvl w:val="0"/>
          <w:numId w:val="2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communications authored by the Strategic Litigation Center</w:t>
      </w:r>
    </w:p>
    <w:p w14:paraId="62C5D83A" w14:textId="77777777" w:rsidR="00DA2827" w:rsidRPr="00DA2827" w:rsidRDefault="00DA2827" w:rsidP="00DA2827">
      <w:pPr>
        <w:numPr>
          <w:ilvl w:val="0"/>
          <w:numId w:val="2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open-source legal documents</w:t>
      </w:r>
    </w:p>
    <w:p w14:paraId="5B0522D4" w14:textId="77777777" w:rsidR="00DA2827" w:rsidRPr="00DA2827" w:rsidRDefault="00DA2827" w:rsidP="00DA2827">
      <w:pPr>
        <w:numPr>
          <w:ilvl w:val="0"/>
          <w:numId w:val="2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lastRenderedPageBreak/>
        <w:t>jurisprudence comparison with WGAD, ECtHR and CAT</w:t>
      </w:r>
    </w:p>
    <w:p w14:paraId="6F161639" w14:textId="77777777" w:rsidR="00DA2827" w:rsidRPr="00DA2827" w:rsidRDefault="00DA2827" w:rsidP="00DA2827">
      <w:pPr>
        <w:numPr>
          <w:ilvl w:val="0"/>
          <w:numId w:val="2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 xml:space="preserve">interviews with </w:t>
      </w:r>
      <w:proofErr w:type="spellStart"/>
      <w:r w:rsidRPr="00DA2827">
        <w:rPr>
          <w:rFonts w:ascii="Book Antiqua" w:hAnsi="Book Antiqua"/>
        </w:rPr>
        <w:t>defence</w:t>
      </w:r>
      <w:proofErr w:type="spellEnd"/>
      <w:r w:rsidRPr="00DA2827">
        <w:rPr>
          <w:rFonts w:ascii="Book Antiqua" w:hAnsi="Book Antiqua"/>
        </w:rPr>
        <w:t xml:space="preserve"> lawyers (</w:t>
      </w:r>
      <w:proofErr w:type="spellStart"/>
      <w:r w:rsidRPr="00DA2827">
        <w:rPr>
          <w:rFonts w:ascii="Book Antiqua" w:hAnsi="Book Antiqua"/>
        </w:rPr>
        <w:t>anonymised</w:t>
      </w:r>
      <w:proofErr w:type="spellEnd"/>
      <w:r w:rsidRPr="00DA2827">
        <w:rPr>
          <w:rFonts w:ascii="Book Antiqua" w:hAnsi="Book Antiqua"/>
        </w:rPr>
        <w:t>)</w:t>
      </w:r>
    </w:p>
    <w:p w14:paraId="3D5F8889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>The analysis follows a four-pillar framework:</w:t>
      </w:r>
    </w:p>
    <w:p w14:paraId="1505C4F7" w14:textId="77777777" w:rsidR="00DA2827" w:rsidRPr="00DA2827" w:rsidRDefault="00DA2827" w:rsidP="00DA2827">
      <w:pPr>
        <w:numPr>
          <w:ilvl w:val="0"/>
          <w:numId w:val="3"/>
        </w:numPr>
        <w:rPr>
          <w:rFonts w:ascii="Book Antiqua" w:hAnsi="Book Antiqua"/>
        </w:rPr>
      </w:pPr>
      <w:r w:rsidRPr="00DA2827">
        <w:rPr>
          <w:rFonts w:ascii="Book Antiqua" w:hAnsi="Book Antiqua"/>
          <w:b/>
          <w:bCs/>
        </w:rPr>
        <w:t>Administrative and criminal detention patterns</w:t>
      </w:r>
    </w:p>
    <w:p w14:paraId="1961FF5D" w14:textId="77777777" w:rsidR="00DA2827" w:rsidRPr="00DA2827" w:rsidRDefault="00DA2827" w:rsidP="00DA2827">
      <w:pPr>
        <w:numPr>
          <w:ilvl w:val="0"/>
          <w:numId w:val="3"/>
        </w:numPr>
        <w:rPr>
          <w:rFonts w:ascii="Book Antiqua" w:hAnsi="Book Antiqua"/>
        </w:rPr>
      </w:pPr>
      <w:r w:rsidRPr="00DA2827">
        <w:rPr>
          <w:rFonts w:ascii="Book Antiqua" w:hAnsi="Book Antiqua"/>
          <w:b/>
          <w:bCs/>
        </w:rPr>
        <w:t>Procedural guarantees and due process</w:t>
      </w:r>
    </w:p>
    <w:p w14:paraId="5F8E5F23" w14:textId="77777777" w:rsidR="00DA2827" w:rsidRPr="00DA2827" w:rsidRDefault="00DA2827" w:rsidP="00DA2827">
      <w:pPr>
        <w:numPr>
          <w:ilvl w:val="0"/>
          <w:numId w:val="3"/>
        </w:numPr>
        <w:rPr>
          <w:rFonts w:ascii="Book Antiqua" w:hAnsi="Book Antiqua"/>
        </w:rPr>
      </w:pPr>
      <w:r w:rsidRPr="00DA2827">
        <w:rPr>
          <w:rFonts w:ascii="Book Antiqua" w:hAnsi="Book Antiqua"/>
          <w:b/>
          <w:bCs/>
        </w:rPr>
        <w:t>Digital repression and evidence misuse</w:t>
      </w:r>
    </w:p>
    <w:p w14:paraId="73E49F13" w14:textId="77777777" w:rsidR="00DA2827" w:rsidRPr="00DA2827" w:rsidRDefault="00DA2827" w:rsidP="00DA2827">
      <w:pPr>
        <w:numPr>
          <w:ilvl w:val="0"/>
          <w:numId w:val="3"/>
        </w:numPr>
        <w:rPr>
          <w:rFonts w:ascii="Book Antiqua" w:hAnsi="Book Antiqua"/>
        </w:rPr>
      </w:pPr>
      <w:r w:rsidRPr="00DA2827">
        <w:rPr>
          <w:rFonts w:ascii="Book Antiqua" w:hAnsi="Book Antiqua"/>
          <w:b/>
          <w:bCs/>
        </w:rPr>
        <w:t>Discrimination and equality before the law</w:t>
      </w:r>
    </w:p>
    <w:p w14:paraId="24B7822E" w14:textId="77777777" w:rsidR="00DA2827" w:rsidRPr="00DA2827" w:rsidRDefault="00C24A61" w:rsidP="00DA2827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262BE93A">
          <v:rect id="_x0000_i1032" alt="" style="width:453.6pt;height:.05pt;mso-width-percent:0;mso-height-percent:0;mso-width-percent:0;mso-height-percent:0" o:hralign="center" o:hrstd="t" o:hr="t" fillcolor="#a0a0a0" stroked="f"/>
        </w:pict>
      </w:r>
    </w:p>
    <w:p w14:paraId="2F09F64E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IV. Case Summaries and Analysis</w:t>
      </w:r>
    </w:p>
    <w:p w14:paraId="2C3ACEC7" w14:textId="77777777" w:rsidR="00DA2827" w:rsidRPr="00DA2827" w:rsidRDefault="00C24A61" w:rsidP="00DA2827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7D9F0EF0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671B63DC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1. Communication No. 3736/2020 — Final Views (Türkiye)</w:t>
      </w:r>
    </w:p>
    <w:p w14:paraId="20D2D846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Background</w:t>
      </w:r>
    </w:p>
    <w:p w14:paraId="53BFB7BE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 xml:space="preserve">Applicant detained based solely on digital metadata and retroactive </w:t>
      </w:r>
      <w:proofErr w:type="spellStart"/>
      <w:r w:rsidRPr="00DA2827">
        <w:rPr>
          <w:rFonts w:ascii="Book Antiqua" w:hAnsi="Book Antiqua"/>
        </w:rPr>
        <w:t>criminalisation</w:t>
      </w:r>
      <w:proofErr w:type="spellEnd"/>
      <w:r w:rsidRPr="00DA2827">
        <w:rPr>
          <w:rFonts w:ascii="Book Antiqua" w:hAnsi="Book Antiqua"/>
        </w:rPr>
        <w:t>.</w:t>
      </w:r>
    </w:p>
    <w:p w14:paraId="7CF8C458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HRC Findings</w:t>
      </w:r>
    </w:p>
    <w:p w14:paraId="6E915961" w14:textId="77777777" w:rsidR="00DA2827" w:rsidRPr="00DA2827" w:rsidRDefault="00DA2827" w:rsidP="00DA2827">
      <w:pPr>
        <w:numPr>
          <w:ilvl w:val="0"/>
          <w:numId w:val="4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Article 9 violation: detention lacked legal basis.</w:t>
      </w:r>
    </w:p>
    <w:p w14:paraId="591ED05A" w14:textId="77777777" w:rsidR="00DA2827" w:rsidRPr="00DA2827" w:rsidRDefault="00DA2827" w:rsidP="00DA2827">
      <w:pPr>
        <w:numPr>
          <w:ilvl w:val="0"/>
          <w:numId w:val="4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Article 14: unfair trial, lack of access to files, discriminatory application of anti-terror laws.</w:t>
      </w:r>
    </w:p>
    <w:p w14:paraId="0E2BFF1D" w14:textId="77777777" w:rsidR="00DA2827" w:rsidRPr="00DA2827" w:rsidRDefault="00DA2827" w:rsidP="00DA2827">
      <w:pPr>
        <w:numPr>
          <w:ilvl w:val="0"/>
          <w:numId w:val="4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 xml:space="preserve">Article 15: conviction for acts not criminal at the time → </w:t>
      </w:r>
      <w:r w:rsidRPr="00DA2827">
        <w:rPr>
          <w:rFonts w:ascii="Book Antiqua" w:hAnsi="Book Antiqua"/>
          <w:i/>
          <w:iCs/>
        </w:rPr>
        <w:t>strongest finding</w:t>
      </w:r>
      <w:r w:rsidRPr="00DA2827">
        <w:rPr>
          <w:rFonts w:ascii="Book Antiqua" w:hAnsi="Book Antiqua"/>
        </w:rPr>
        <w:t>.</w:t>
      </w:r>
    </w:p>
    <w:p w14:paraId="48E6BD06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Key Legal Significance</w:t>
      </w:r>
    </w:p>
    <w:p w14:paraId="56EE5F94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 xml:space="preserve">The Committee condemned the use of </w:t>
      </w:r>
      <w:r w:rsidRPr="00DA2827">
        <w:rPr>
          <w:rFonts w:ascii="Book Antiqua" w:hAnsi="Book Antiqua"/>
          <w:b/>
          <w:bCs/>
        </w:rPr>
        <w:t>digital app usage</w:t>
      </w:r>
      <w:r w:rsidRPr="00DA2827">
        <w:rPr>
          <w:rFonts w:ascii="Book Antiqua" w:hAnsi="Book Antiqua"/>
        </w:rPr>
        <w:t xml:space="preserve"> and “pattern analysis” as evidence of criminal liability.</w:t>
      </w:r>
    </w:p>
    <w:p w14:paraId="11D586C9" w14:textId="77777777" w:rsidR="00DA2827" w:rsidRPr="00DA2827" w:rsidRDefault="00C24A61" w:rsidP="00DA2827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5A0D0838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47A09493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2. Communication No. 3592/2019 — Interim Measures (Türkiye)</w:t>
      </w:r>
    </w:p>
    <w:p w14:paraId="7670B725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Background</w:t>
      </w:r>
    </w:p>
    <w:p w14:paraId="5D2F0E49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 xml:space="preserve">Applicant held </w:t>
      </w:r>
      <w:proofErr w:type="gramStart"/>
      <w:r w:rsidRPr="00DA2827">
        <w:rPr>
          <w:rFonts w:ascii="Book Antiqua" w:hAnsi="Book Antiqua"/>
        </w:rPr>
        <w:t>incommunicado;</w:t>
      </w:r>
      <w:proofErr w:type="gramEnd"/>
      <w:r w:rsidRPr="00DA2827">
        <w:rPr>
          <w:rFonts w:ascii="Book Antiqua" w:hAnsi="Book Antiqua"/>
        </w:rPr>
        <w:t xml:space="preserve"> severe risk of torture and medical neglect.</w:t>
      </w:r>
    </w:p>
    <w:p w14:paraId="7143EC7F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Interim Measures Granted</w:t>
      </w:r>
    </w:p>
    <w:p w14:paraId="55D4A624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>The HRC requested the State to:</w:t>
      </w:r>
    </w:p>
    <w:p w14:paraId="59F6A365" w14:textId="77777777" w:rsidR="00DA2827" w:rsidRPr="00DA2827" w:rsidRDefault="00DA2827" w:rsidP="00DA2827">
      <w:pPr>
        <w:numPr>
          <w:ilvl w:val="0"/>
          <w:numId w:val="5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End incommunicado detention</w:t>
      </w:r>
    </w:p>
    <w:p w14:paraId="65E73E3E" w14:textId="77777777" w:rsidR="00DA2827" w:rsidRPr="00DA2827" w:rsidRDefault="00DA2827" w:rsidP="00DA2827">
      <w:pPr>
        <w:numPr>
          <w:ilvl w:val="0"/>
          <w:numId w:val="5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Grant immediate access to lawyer</w:t>
      </w:r>
    </w:p>
    <w:p w14:paraId="734BC795" w14:textId="77777777" w:rsidR="00DA2827" w:rsidRPr="00DA2827" w:rsidRDefault="00DA2827" w:rsidP="00DA2827">
      <w:pPr>
        <w:numPr>
          <w:ilvl w:val="0"/>
          <w:numId w:val="5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lastRenderedPageBreak/>
        <w:t>Provide medical care</w:t>
      </w:r>
    </w:p>
    <w:p w14:paraId="3D349105" w14:textId="77777777" w:rsidR="00DA2827" w:rsidRPr="00DA2827" w:rsidRDefault="00DA2827" w:rsidP="00DA2827">
      <w:pPr>
        <w:numPr>
          <w:ilvl w:val="0"/>
          <w:numId w:val="5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Consider alternatives to detention (house arrest etc.)</w:t>
      </w:r>
    </w:p>
    <w:p w14:paraId="24AC4A41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Significance</w:t>
      </w:r>
    </w:p>
    <w:p w14:paraId="00A96680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>This is one of the very rare interim measures addressing:</w:t>
      </w:r>
    </w:p>
    <w:p w14:paraId="7DCDE987" w14:textId="77777777" w:rsidR="00DA2827" w:rsidRPr="00DA2827" w:rsidRDefault="00DA2827" w:rsidP="00DA2827">
      <w:pPr>
        <w:numPr>
          <w:ilvl w:val="0"/>
          <w:numId w:val="6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 xml:space="preserve">digital-era </w:t>
      </w:r>
      <w:proofErr w:type="spellStart"/>
      <w:r w:rsidRPr="00DA2827">
        <w:rPr>
          <w:rFonts w:ascii="Book Antiqua" w:hAnsi="Book Antiqua"/>
        </w:rPr>
        <w:t>criminalisation</w:t>
      </w:r>
      <w:proofErr w:type="spellEnd"/>
      <w:r w:rsidRPr="00DA2827">
        <w:rPr>
          <w:rFonts w:ascii="Book Antiqua" w:hAnsi="Book Antiqua"/>
        </w:rPr>
        <w:t>,</w:t>
      </w:r>
    </w:p>
    <w:p w14:paraId="5F84E69D" w14:textId="77777777" w:rsidR="00DA2827" w:rsidRPr="00DA2827" w:rsidRDefault="00DA2827" w:rsidP="00DA2827">
      <w:pPr>
        <w:numPr>
          <w:ilvl w:val="0"/>
          <w:numId w:val="6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medical endangerment,</w:t>
      </w:r>
    </w:p>
    <w:p w14:paraId="0890031C" w14:textId="77777777" w:rsidR="00DA2827" w:rsidRPr="00DA2827" w:rsidRDefault="00DA2827" w:rsidP="00DA2827">
      <w:pPr>
        <w:numPr>
          <w:ilvl w:val="0"/>
          <w:numId w:val="6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total denial of fair-trial rights.</w:t>
      </w:r>
    </w:p>
    <w:p w14:paraId="17D3F622" w14:textId="77777777" w:rsidR="00DA2827" w:rsidRPr="00DA2827" w:rsidRDefault="00C24A61" w:rsidP="00DA2827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41012FEC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3996293B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3. Communication No. 3947/2021 — Registered (Türkiye)</w:t>
      </w:r>
    </w:p>
    <w:p w14:paraId="50B87CB9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Background</w:t>
      </w:r>
    </w:p>
    <w:p w14:paraId="50959933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>Applicant faced discrimination and arbitrary prosecution under Articles 14 and 26.</w:t>
      </w:r>
    </w:p>
    <w:p w14:paraId="16232B1F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HRC’s Registration Decision</w:t>
      </w:r>
    </w:p>
    <w:p w14:paraId="5E3A05D3" w14:textId="77777777" w:rsidR="00DA2827" w:rsidRPr="00DA2827" w:rsidRDefault="00DA2827" w:rsidP="00DA2827">
      <w:pPr>
        <w:numPr>
          <w:ilvl w:val="0"/>
          <w:numId w:val="7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Case registered despite political sensitivity</w:t>
      </w:r>
    </w:p>
    <w:p w14:paraId="72FE4704" w14:textId="77777777" w:rsidR="00DA2827" w:rsidRPr="00DA2827" w:rsidRDefault="00DA2827" w:rsidP="00DA2827">
      <w:pPr>
        <w:numPr>
          <w:ilvl w:val="0"/>
          <w:numId w:val="7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Issues:</w:t>
      </w:r>
    </w:p>
    <w:p w14:paraId="1FF75CB7" w14:textId="77777777" w:rsidR="00DA2827" w:rsidRPr="00DA2827" w:rsidRDefault="00DA2827" w:rsidP="00DA2827">
      <w:pPr>
        <w:numPr>
          <w:ilvl w:val="1"/>
          <w:numId w:val="7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unequal treatment</w:t>
      </w:r>
    </w:p>
    <w:p w14:paraId="6FACA07C" w14:textId="77777777" w:rsidR="00DA2827" w:rsidRPr="00DA2827" w:rsidRDefault="00DA2827" w:rsidP="00DA2827">
      <w:pPr>
        <w:numPr>
          <w:ilvl w:val="1"/>
          <w:numId w:val="7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discriminatory enforcement</w:t>
      </w:r>
    </w:p>
    <w:p w14:paraId="4C95A43D" w14:textId="77777777" w:rsidR="00DA2827" w:rsidRPr="00DA2827" w:rsidRDefault="00DA2827" w:rsidP="00DA2827">
      <w:pPr>
        <w:numPr>
          <w:ilvl w:val="1"/>
          <w:numId w:val="7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lack of impartial tribunal</w:t>
      </w:r>
    </w:p>
    <w:p w14:paraId="23CAA748" w14:textId="77777777" w:rsidR="00DA2827" w:rsidRPr="00DA2827" w:rsidRDefault="00DA2827" w:rsidP="00DA2827">
      <w:pPr>
        <w:numPr>
          <w:ilvl w:val="1"/>
          <w:numId w:val="7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criminal charges unrelated to actual conduct</w:t>
      </w:r>
    </w:p>
    <w:p w14:paraId="308036F2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Legal Importance</w:t>
      </w:r>
    </w:p>
    <w:p w14:paraId="41C8A7D3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>This communication will likely influence the Committee’s future jurisprudence on discriminatory anti-terror enforcement.</w:t>
      </w:r>
    </w:p>
    <w:p w14:paraId="49DB0F2F" w14:textId="77777777" w:rsidR="00DA2827" w:rsidRPr="00DA2827" w:rsidRDefault="00C24A61" w:rsidP="00DA2827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659859EF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73E26D7D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V. Cross-Cutting Findings</w:t>
      </w:r>
    </w:p>
    <w:p w14:paraId="508F586F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1. Digital repression as basis for detention</w:t>
      </w:r>
    </w:p>
    <w:p w14:paraId="2640761D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 xml:space="preserve">The cases show widespread </w:t>
      </w:r>
      <w:proofErr w:type="spellStart"/>
      <w:r w:rsidRPr="00DA2827">
        <w:rPr>
          <w:rFonts w:ascii="Book Antiqua" w:hAnsi="Book Antiqua"/>
        </w:rPr>
        <w:t>criminalisation</w:t>
      </w:r>
      <w:proofErr w:type="spellEnd"/>
      <w:r w:rsidRPr="00DA2827">
        <w:rPr>
          <w:rFonts w:ascii="Book Antiqua" w:hAnsi="Book Antiqua"/>
        </w:rPr>
        <w:t xml:space="preserve"> of:</w:t>
      </w:r>
    </w:p>
    <w:p w14:paraId="11FFFD92" w14:textId="77777777" w:rsidR="00DA2827" w:rsidRPr="00DA2827" w:rsidRDefault="00DA2827" w:rsidP="00DA2827">
      <w:pPr>
        <w:numPr>
          <w:ilvl w:val="0"/>
          <w:numId w:val="8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encrypted app usage,</w:t>
      </w:r>
    </w:p>
    <w:p w14:paraId="24AF8502" w14:textId="77777777" w:rsidR="00DA2827" w:rsidRPr="00DA2827" w:rsidRDefault="00DA2827" w:rsidP="00DA2827">
      <w:pPr>
        <w:numPr>
          <w:ilvl w:val="0"/>
          <w:numId w:val="8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membership in digital groups,</w:t>
      </w:r>
    </w:p>
    <w:p w14:paraId="7C8E75B0" w14:textId="77777777" w:rsidR="00DA2827" w:rsidRPr="00DA2827" w:rsidRDefault="00DA2827" w:rsidP="00DA2827">
      <w:pPr>
        <w:numPr>
          <w:ilvl w:val="0"/>
          <w:numId w:val="8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digital communication logs.</w:t>
      </w:r>
    </w:p>
    <w:p w14:paraId="0045EA96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2. Systematic denial of procedural guarantees</w:t>
      </w:r>
    </w:p>
    <w:p w14:paraId="15452388" w14:textId="77777777" w:rsidR="00DA2827" w:rsidRPr="00DA2827" w:rsidRDefault="00DA2827" w:rsidP="00DA2827">
      <w:pPr>
        <w:numPr>
          <w:ilvl w:val="0"/>
          <w:numId w:val="9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lastRenderedPageBreak/>
        <w:t>inaccessible case files</w:t>
      </w:r>
    </w:p>
    <w:p w14:paraId="1870E43D" w14:textId="77777777" w:rsidR="00DA2827" w:rsidRPr="00DA2827" w:rsidRDefault="00DA2827" w:rsidP="00DA2827">
      <w:pPr>
        <w:numPr>
          <w:ilvl w:val="0"/>
          <w:numId w:val="9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secret evidence</w:t>
      </w:r>
    </w:p>
    <w:p w14:paraId="3DF0B31C" w14:textId="77777777" w:rsidR="00DA2827" w:rsidRPr="00DA2827" w:rsidRDefault="00DA2827" w:rsidP="00DA2827">
      <w:pPr>
        <w:numPr>
          <w:ilvl w:val="0"/>
          <w:numId w:val="9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incommunicado detention</w:t>
      </w:r>
    </w:p>
    <w:p w14:paraId="561418FC" w14:textId="77777777" w:rsidR="00DA2827" w:rsidRPr="00DA2827" w:rsidRDefault="00DA2827" w:rsidP="00DA2827">
      <w:pPr>
        <w:numPr>
          <w:ilvl w:val="0"/>
          <w:numId w:val="9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prolonged pretrial detention</w:t>
      </w:r>
    </w:p>
    <w:p w14:paraId="5C0F6977" w14:textId="77777777" w:rsidR="00DA2827" w:rsidRPr="00DA2827" w:rsidRDefault="00DA2827" w:rsidP="00DA2827">
      <w:pPr>
        <w:numPr>
          <w:ilvl w:val="0"/>
          <w:numId w:val="9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denial of medical care</w:t>
      </w:r>
    </w:p>
    <w:p w14:paraId="564DE5FA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3. Discrimination in enforcement</w:t>
      </w:r>
    </w:p>
    <w:p w14:paraId="057C894E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>Targeted groups:</w:t>
      </w:r>
    </w:p>
    <w:p w14:paraId="15AC34E1" w14:textId="77777777" w:rsidR="00DA2827" w:rsidRPr="00DA2827" w:rsidRDefault="00DA2827" w:rsidP="00DA2827">
      <w:pPr>
        <w:numPr>
          <w:ilvl w:val="0"/>
          <w:numId w:val="10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political dissidents</w:t>
      </w:r>
    </w:p>
    <w:p w14:paraId="0A75506B" w14:textId="77777777" w:rsidR="00DA2827" w:rsidRPr="00DA2827" w:rsidRDefault="00DA2827" w:rsidP="00DA2827">
      <w:pPr>
        <w:numPr>
          <w:ilvl w:val="0"/>
          <w:numId w:val="10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refugees</w:t>
      </w:r>
    </w:p>
    <w:p w14:paraId="519AC095" w14:textId="77777777" w:rsidR="00DA2827" w:rsidRPr="00DA2827" w:rsidRDefault="00DA2827" w:rsidP="00DA2827">
      <w:pPr>
        <w:numPr>
          <w:ilvl w:val="0"/>
          <w:numId w:val="10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returnees</w:t>
      </w:r>
    </w:p>
    <w:p w14:paraId="38DAF84F" w14:textId="77777777" w:rsidR="00DA2827" w:rsidRPr="00DA2827" w:rsidRDefault="00DA2827" w:rsidP="00DA2827">
      <w:pPr>
        <w:numPr>
          <w:ilvl w:val="0"/>
          <w:numId w:val="10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digital-privacy–exercising individuals</w:t>
      </w:r>
    </w:p>
    <w:p w14:paraId="4374C2EB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 xml:space="preserve">4. Retroactive </w:t>
      </w:r>
      <w:proofErr w:type="spellStart"/>
      <w:r w:rsidRPr="00DA2827">
        <w:rPr>
          <w:rFonts w:ascii="Book Antiqua" w:hAnsi="Book Antiqua"/>
          <w:b/>
          <w:bCs/>
        </w:rPr>
        <w:t>criminalisation</w:t>
      </w:r>
      <w:proofErr w:type="spellEnd"/>
    </w:p>
    <w:p w14:paraId="71669180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>The HRC condemned retroactive use of digital patterns as “terror indicators.”</w:t>
      </w:r>
    </w:p>
    <w:p w14:paraId="06E8DD6E" w14:textId="77777777" w:rsidR="00DA2827" w:rsidRPr="00DA2827" w:rsidRDefault="00C24A61" w:rsidP="00DA2827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20BF0091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2E837717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VI. Impact Analysis</w:t>
      </w:r>
    </w:p>
    <w:p w14:paraId="047C74B1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A. Jurisprudential Impact</w:t>
      </w:r>
    </w:p>
    <w:p w14:paraId="35955AC8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>These decisions enhance global standards by:</w:t>
      </w:r>
    </w:p>
    <w:p w14:paraId="3DC87223" w14:textId="77777777" w:rsidR="00DA2827" w:rsidRPr="00DA2827" w:rsidRDefault="00DA2827" w:rsidP="00DA2827">
      <w:pPr>
        <w:numPr>
          <w:ilvl w:val="0"/>
          <w:numId w:val="11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 xml:space="preserve">limiting </w:t>
      </w:r>
      <w:proofErr w:type="spellStart"/>
      <w:r w:rsidRPr="00DA2827">
        <w:rPr>
          <w:rFonts w:ascii="Book Antiqua" w:hAnsi="Book Antiqua"/>
        </w:rPr>
        <w:t>criminalisation</w:t>
      </w:r>
      <w:proofErr w:type="spellEnd"/>
      <w:r w:rsidRPr="00DA2827">
        <w:rPr>
          <w:rFonts w:ascii="Book Antiqua" w:hAnsi="Book Antiqua"/>
        </w:rPr>
        <w:t xml:space="preserve"> of digital metadata</w:t>
      </w:r>
    </w:p>
    <w:p w14:paraId="4DCF8D7E" w14:textId="77777777" w:rsidR="00DA2827" w:rsidRPr="00DA2827" w:rsidRDefault="00DA2827" w:rsidP="00DA2827">
      <w:pPr>
        <w:numPr>
          <w:ilvl w:val="0"/>
          <w:numId w:val="11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strengthening legality principle</w:t>
      </w:r>
    </w:p>
    <w:p w14:paraId="2E740061" w14:textId="77777777" w:rsidR="00DA2827" w:rsidRPr="00DA2827" w:rsidRDefault="00DA2827" w:rsidP="00DA2827">
      <w:pPr>
        <w:numPr>
          <w:ilvl w:val="0"/>
          <w:numId w:val="11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reinforcing rights of detainees</w:t>
      </w:r>
    </w:p>
    <w:p w14:paraId="333F4867" w14:textId="77777777" w:rsidR="00DA2827" w:rsidRPr="00DA2827" w:rsidRDefault="00DA2827" w:rsidP="00DA2827">
      <w:pPr>
        <w:numPr>
          <w:ilvl w:val="0"/>
          <w:numId w:val="11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improving standards of medical access in detention</w:t>
      </w:r>
    </w:p>
    <w:p w14:paraId="1DC975FB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B. Domestic Legal Impact</w:t>
      </w:r>
    </w:p>
    <w:p w14:paraId="54BFDA80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 xml:space="preserve">Several </w:t>
      </w:r>
      <w:proofErr w:type="spellStart"/>
      <w:r w:rsidRPr="00DA2827">
        <w:rPr>
          <w:rFonts w:ascii="Book Antiqua" w:hAnsi="Book Antiqua"/>
        </w:rPr>
        <w:t>defence</w:t>
      </w:r>
      <w:proofErr w:type="spellEnd"/>
      <w:r w:rsidRPr="00DA2827">
        <w:rPr>
          <w:rFonts w:ascii="Book Antiqua" w:hAnsi="Book Antiqua"/>
        </w:rPr>
        <w:t xml:space="preserve"> teams in Türkiye referenced these HRC findings in ongoing trials.</w:t>
      </w:r>
    </w:p>
    <w:p w14:paraId="5F2E42CE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C. Strategic Litigation Value</w:t>
      </w:r>
    </w:p>
    <w:p w14:paraId="0CC5BEAB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 xml:space="preserve">The three cases together form a </w:t>
      </w:r>
      <w:r w:rsidRPr="00DA2827">
        <w:rPr>
          <w:rFonts w:ascii="Book Antiqua" w:hAnsi="Book Antiqua"/>
          <w:b/>
          <w:bCs/>
        </w:rPr>
        <w:t>cluster jurisprudence</w:t>
      </w:r>
      <w:r w:rsidRPr="00DA2827">
        <w:rPr>
          <w:rFonts w:ascii="Book Antiqua" w:hAnsi="Book Antiqua"/>
        </w:rPr>
        <w:t xml:space="preserve"> that can be leveraged for future ECtHR, WGAD and HRC submissions.</w:t>
      </w:r>
    </w:p>
    <w:p w14:paraId="193053D4" w14:textId="77777777" w:rsidR="00DA2827" w:rsidRPr="00DA2827" w:rsidRDefault="00C24A61" w:rsidP="00DA2827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5A856CE0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7B8C5C8D" w14:textId="77777777" w:rsidR="008C2EBE" w:rsidRDefault="008C2EBE" w:rsidP="00DA2827">
      <w:pPr>
        <w:rPr>
          <w:rFonts w:ascii="Book Antiqua" w:hAnsi="Book Antiqua"/>
          <w:b/>
          <w:bCs/>
        </w:rPr>
      </w:pPr>
    </w:p>
    <w:p w14:paraId="49DD3F20" w14:textId="77777777" w:rsidR="008C2EBE" w:rsidRDefault="008C2EBE" w:rsidP="00DA2827">
      <w:pPr>
        <w:rPr>
          <w:rFonts w:ascii="Book Antiqua" w:hAnsi="Book Antiqua"/>
          <w:b/>
          <w:bCs/>
        </w:rPr>
      </w:pPr>
    </w:p>
    <w:p w14:paraId="6E0CBE36" w14:textId="52C77B9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lastRenderedPageBreak/>
        <w:t>VII. Recommendations</w:t>
      </w:r>
    </w:p>
    <w:p w14:paraId="79EA016B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To States</w:t>
      </w:r>
    </w:p>
    <w:p w14:paraId="214563FA" w14:textId="77777777" w:rsidR="00DA2827" w:rsidRPr="00DA2827" w:rsidRDefault="00DA2827" w:rsidP="00DA2827">
      <w:pPr>
        <w:numPr>
          <w:ilvl w:val="0"/>
          <w:numId w:val="12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Cease prosecuting individuals for encrypted app usage alone.</w:t>
      </w:r>
    </w:p>
    <w:p w14:paraId="7E193C44" w14:textId="77777777" w:rsidR="00DA2827" w:rsidRPr="00DA2827" w:rsidRDefault="00DA2827" w:rsidP="00DA2827">
      <w:pPr>
        <w:numPr>
          <w:ilvl w:val="0"/>
          <w:numId w:val="12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Ensure immediate access to counsel and doctors.</w:t>
      </w:r>
    </w:p>
    <w:p w14:paraId="292A03BA" w14:textId="77777777" w:rsidR="00DA2827" w:rsidRPr="00DA2827" w:rsidRDefault="00DA2827" w:rsidP="00DA2827">
      <w:pPr>
        <w:numPr>
          <w:ilvl w:val="0"/>
          <w:numId w:val="12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End retroactive application of criminal laws.</w:t>
      </w:r>
    </w:p>
    <w:p w14:paraId="4BDDB62F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To International Institutions</w:t>
      </w:r>
    </w:p>
    <w:p w14:paraId="13A30B15" w14:textId="77777777" w:rsidR="00DA2827" w:rsidRPr="00DA2827" w:rsidRDefault="00DA2827" w:rsidP="00DA2827">
      <w:pPr>
        <w:numPr>
          <w:ilvl w:val="0"/>
          <w:numId w:val="13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Strengthen monitoring of digital repression trends.</w:t>
      </w:r>
    </w:p>
    <w:p w14:paraId="70ECEE95" w14:textId="77777777" w:rsidR="00DA2827" w:rsidRPr="00DA2827" w:rsidRDefault="00DA2827" w:rsidP="00DA2827">
      <w:pPr>
        <w:numPr>
          <w:ilvl w:val="0"/>
          <w:numId w:val="13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 xml:space="preserve">Promote guidelines on digital privacy and </w:t>
      </w:r>
      <w:proofErr w:type="spellStart"/>
      <w:r w:rsidRPr="00DA2827">
        <w:rPr>
          <w:rFonts w:ascii="Book Antiqua" w:hAnsi="Book Antiqua"/>
        </w:rPr>
        <w:t>criminalisation</w:t>
      </w:r>
      <w:proofErr w:type="spellEnd"/>
      <w:r w:rsidRPr="00DA2827">
        <w:rPr>
          <w:rFonts w:ascii="Book Antiqua" w:hAnsi="Book Antiqua"/>
        </w:rPr>
        <w:t xml:space="preserve"> limits.</w:t>
      </w:r>
    </w:p>
    <w:p w14:paraId="4C89AEAF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To Civil Society &amp; Lawyers</w:t>
      </w:r>
    </w:p>
    <w:p w14:paraId="58FF4045" w14:textId="77777777" w:rsidR="00DA2827" w:rsidRPr="00DA2827" w:rsidRDefault="00DA2827" w:rsidP="00DA2827">
      <w:pPr>
        <w:numPr>
          <w:ilvl w:val="0"/>
          <w:numId w:val="14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>Use HRC 3736/2020 as a leading precedent.</w:t>
      </w:r>
    </w:p>
    <w:p w14:paraId="535188F5" w14:textId="77777777" w:rsidR="00DA2827" w:rsidRPr="00DA2827" w:rsidRDefault="00DA2827" w:rsidP="00DA2827">
      <w:pPr>
        <w:numPr>
          <w:ilvl w:val="0"/>
          <w:numId w:val="14"/>
        </w:numPr>
        <w:rPr>
          <w:rFonts w:ascii="Book Antiqua" w:hAnsi="Book Antiqua"/>
        </w:rPr>
      </w:pPr>
      <w:r w:rsidRPr="00DA2827">
        <w:rPr>
          <w:rFonts w:ascii="Book Antiqua" w:hAnsi="Book Antiqua"/>
        </w:rPr>
        <w:t xml:space="preserve">Build thematic litigation clusters on digital </w:t>
      </w:r>
      <w:proofErr w:type="spellStart"/>
      <w:r w:rsidRPr="00DA2827">
        <w:rPr>
          <w:rFonts w:ascii="Book Antiqua" w:hAnsi="Book Antiqua"/>
        </w:rPr>
        <w:t>criminalisation</w:t>
      </w:r>
      <w:proofErr w:type="spellEnd"/>
      <w:r w:rsidRPr="00DA2827">
        <w:rPr>
          <w:rFonts w:ascii="Book Antiqua" w:hAnsi="Book Antiqua"/>
        </w:rPr>
        <w:t>.</w:t>
      </w:r>
    </w:p>
    <w:p w14:paraId="79FFFC70" w14:textId="77777777" w:rsidR="00DA2827" w:rsidRPr="00DA2827" w:rsidRDefault="00C24A61" w:rsidP="00DA2827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4BAEC20A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6C8441EE" w14:textId="77777777" w:rsidR="00DA2827" w:rsidRPr="00DA2827" w:rsidRDefault="00DA2827" w:rsidP="00DA2827">
      <w:pPr>
        <w:rPr>
          <w:rFonts w:ascii="Book Antiqua" w:hAnsi="Book Antiqua"/>
          <w:b/>
          <w:bCs/>
        </w:rPr>
      </w:pPr>
      <w:r w:rsidRPr="00DA2827">
        <w:rPr>
          <w:rFonts w:ascii="Book Antiqua" w:hAnsi="Book Antiqua"/>
          <w:b/>
          <w:bCs/>
        </w:rPr>
        <w:t>VIII. Conclusion</w:t>
      </w:r>
    </w:p>
    <w:p w14:paraId="28E24139" w14:textId="77777777" w:rsidR="00DA2827" w:rsidRPr="00DA2827" w:rsidRDefault="00DA2827" w:rsidP="00DA2827">
      <w:pPr>
        <w:rPr>
          <w:rFonts w:ascii="Book Antiqua" w:hAnsi="Book Antiqua"/>
        </w:rPr>
      </w:pPr>
      <w:r w:rsidRPr="00DA2827">
        <w:rPr>
          <w:rFonts w:ascii="Book Antiqua" w:hAnsi="Book Antiqua"/>
        </w:rPr>
        <w:t xml:space="preserve">The HRC cases presented between 2019–2025 reveal consistent patterns of arbitrary detention, discriminatory prosecution, and digital-age rights violations. These decisions offer a robust framework for challenging abusive State practices and </w:t>
      </w:r>
      <w:proofErr w:type="spellStart"/>
      <w:r w:rsidRPr="00DA2827">
        <w:rPr>
          <w:rFonts w:ascii="Book Antiqua" w:hAnsi="Book Antiqua"/>
        </w:rPr>
        <w:t>mobilising</w:t>
      </w:r>
      <w:proofErr w:type="spellEnd"/>
      <w:r w:rsidRPr="00DA2827">
        <w:rPr>
          <w:rFonts w:ascii="Book Antiqua" w:hAnsi="Book Antiqua"/>
        </w:rPr>
        <w:t xml:space="preserve"> global advocacy.</w:t>
      </w:r>
    </w:p>
    <w:p w14:paraId="62A044D4" w14:textId="77777777" w:rsidR="00F80924" w:rsidRPr="00DA2827" w:rsidRDefault="00F80924">
      <w:pPr>
        <w:rPr>
          <w:rFonts w:ascii="Book Antiqua" w:hAnsi="Book Antiqua"/>
        </w:rPr>
      </w:pPr>
    </w:p>
    <w:sectPr w:rsidR="00F80924" w:rsidRPr="00DA2827">
      <w:footerReference w:type="even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A09F72" w14:textId="77777777" w:rsidR="00C24A61" w:rsidRDefault="00C24A61" w:rsidP="008C2EBE">
      <w:pPr>
        <w:spacing w:after="0" w:line="240" w:lineRule="auto"/>
      </w:pPr>
      <w:r>
        <w:separator/>
      </w:r>
    </w:p>
  </w:endnote>
  <w:endnote w:type="continuationSeparator" w:id="0">
    <w:p w14:paraId="7E883B68" w14:textId="77777777" w:rsidR="00C24A61" w:rsidRDefault="00C24A61" w:rsidP="008C2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ayfaNumaras"/>
      </w:rPr>
      <w:id w:val="-438071060"/>
      <w:docPartObj>
        <w:docPartGallery w:val="Page Numbers (Bottom of Page)"/>
        <w:docPartUnique/>
      </w:docPartObj>
    </w:sdtPr>
    <w:sdtContent>
      <w:p w14:paraId="07B70C10" w14:textId="549F00E4" w:rsidR="008C2EBE" w:rsidRDefault="008C2EBE" w:rsidP="00AA4E1A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644A0BE4" w14:textId="77777777" w:rsidR="008C2EBE" w:rsidRDefault="008C2EB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ayfaNumaras"/>
      </w:rPr>
      <w:id w:val="824711623"/>
      <w:docPartObj>
        <w:docPartGallery w:val="Page Numbers (Bottom of Page)"/>
        <w:docPartUnique/>
      </w:docPartObj>
    </w:sdtPr>
    <w:sdtContent>
      <w:p w14:paraId="73B750B5" w14:textId="74C4381C" w:rsidR="008C2EBE" w:rsidRDefault="008C2EBE" w:rsidP="00AA4E1A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separate"/>
        </w:r>
        <w:r>
          <w:rPr>
            <w:rStyle w:val="SayfaNumaras"/>
            <w:noProof/>
          </w:rPr>
          <w:t>1</w:t>
        </w:r>
        <w:r>
          <w:rPr>
            <w:rStyle w:val="SayfaNumaras"/>
          </w:rPr>
          <w:fldChar w:fldCharType="end"/>
        </w:r>
      </w:p>
    </w:sdtContent>
  </w:sdt>
  <w:p w14:paraId="249B451E" w14:textId="77777777" w:rsidR="008C2EBE" w:rsidRDefault="008C2EB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4974A5" w14:textId="77777777" w:rsidR="00C24A61" w:rsidRDefault="00C24A61" w:rsidP="008C2EBE">
      <w:pPr>
        <w:spacing w:after="0" w:line="240" w:lineRule="auto"/>
      </w:pPr>
      <w:r>
        <w:separator/>
      </w:r>
    </w:p>
  </w:footnote>
  <w:footnote w:type="continuationSeparator" w:id="0">
    <w:p w14:paraId="7058BA59" w14:textId="77777777" w:rsidR="00C24A61" w:rsidRDefault="00C24A61" w:rsidP="008C2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36371"/>
    <w:multiLevelType w:val="multilevel"/>
    <w:tmpl w:val="406C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E30C4B"/>
    <w:multiLevelType w:val="multilevel"/>
    <w:tmpl w:val="8E9ED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52E7B"/>
    <w:multiLevelType w:val="multilevel"/>
    <w:tmpl w:val="C5CA8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C2498C"/>
    <w:multiLevelType w:val="multilevel"/>
    <w:tmpl w:val="89E6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FD505D"/>
    <w:multiLevelType w:val="multilevel"/>
    <w:tmpl w:val="9D6CE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696CC8"/>
    <w:multiLevelType w:val="multilevel"/>
    <w:tmpl w:val="F4BEB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6631EC"/>
    <w:multiLevelType w:val="multilevel"/>
    <w:tmpl w:val="D2FC8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066DA4"/>
    <w:multiLevelType w:val="multilevel"/>
    <w:tmpl w:val="F41EE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BD2BE5"/>
    <w:multiLevelType w:val="multilevel"/>
    <w:tmpl w:val="6F78C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C435DF"/>
    <w:multiLevelType w:val="multilevel"/>
    <w:tmpl w:val="F0382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FC662D"/>
    <w:multiLevelType w:val="multilevel"/>
    <w:tmpl w:val="4F503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7B507E"/>
    <w:multiLevelType w:val="multilevel"/>
    <w:tmpl w:val="8BA84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B81DFC"/>
    <w:multiLevelType w:val="multilevel"/>
    <w:tmpl w:val="12FC9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82380"/>
    <w:multiLevelType w:val="multilevel"/>
    <w:tmpl w:val="5322C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2291360">
    <w:abstractNumId w:val="1"/>
  </w:num>
  <w:num w:numId="2" w16cid:durableId="213011834">
    <w:abstractNumId w:val="6"/>
  </w:num>
  <w:num w:numId="3" w16cid:durableId="219171793">
    <w:abstractNumId w:val="13"/>
  </w:num>
  <w:num w:numId="4" w16cid:durableId="1532451698">
    <w:abstractNumId w:val="9"/>
  </w:num>
  <w:num w:numId="5" w16cid:durableId="36783392">
    <w:abstractNumId w:val="11"/>
  </w:num>
  <w:num w:numId="6" w16cid:durableId="175970828">
    <w:abstractNumId w:val="3"/>
  </w:num>
  <w:num w:numId="7" w16cid:durableId="347102624">
    <w:abstractNumId w:val="0"/>
  </w:num>
  <w:num w:numId="8" w16cid:durableId="134878957">
    <w:abstractNumId w:val="2"/>
  </w:num>
  <w:num w:numId="9" w16cid:durableId="169613011">
    <w:abstractNumId w:val="7"/>
  </w:num>
  <w:num w:numId="10" w16cid:durableId="1022047644">
    <w:abstractNumId w:val="12"/>
  </w:num>
  <w:num w:numId="11" w16cid:durableId="99690722">
    <w:abstractNumId w:val="8"/>
  </w:num>
  <w:num w:numId="12" w16cid:durableId="1867677041">
    <w:abstractNumId w:val="5"/>
  </w:num>
  <w:num w:numId="13" w16cid:durableId="655691592">
    <w:abstractNumId w:val="4"/>
  </w:num>
  <w:num w:numId="14" w16cid:durableId="5265283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827"/>
    <w:rsid w:val="004D4E5C"/>
    <w:rsid w:val="006806B7"/>
    <w:rsid w:val="007F0992"/>
    <w:rsid w:val="008C2EBE"/>
    <w:rsid w:val="00C24A61"/>
    <w:rsid w:val="00DA2827"/>
    <w:rsid w:val="00F8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14DB2"/>
  <w15:chartTrackingRefBased/>
  <w15:docId w15:val="{083693A7-D80A-7D4E-8DA0-1C39B4360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DA28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A28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A28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A28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A28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A28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A28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A28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A28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A2827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A2827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A2827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A2827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A2827"/>
    <w:rPr>
      <w:rFonts w:eastAsiaTheme="majorEastAsia" w:cstheme="majorBidi"/>
      <w:color w:val="0F4761" w:themeColor="accent1" w:themeShade="BF"/>
      <w:lang w:val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A2827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A2827"/>
    <w:rPr>
      <w:rFonts w:eastAsiaTheme="majorEastAsia" w:cstheme="majorBidi"/>
      <w:color w:val="595959" w:themeColor="text1" w:themeTint="A6"/>
      <w:lang w:val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A2827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A2827"/>
    <w:rPr>
      <w:rFonts w:eastAsiaTheme="majorEastAsia" w:cstheme="majorBidi"/>
      <w:color w:val="272727" w:themeColor="text1" w:themeTint="D8"/>
      <w:lang w:val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DA28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A2827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ltyaz">
    <w:name w:val="Subtitle"/>
    <w:basedOn w:val="Normal"/>
    <w:next w:val="Normal"/>
    <w:link w:val="AltyazChar"/>
    <w:uiPriority w:val="11"/>
    <w:qFormat/>
    <w:rsid w:val="00DA28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A2827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Alnt">
    <w:name w:val="Quote"/>
    <w:basedOn w:val="Normal"/>
    <w:next w:val="Normal"/>
    <w:link w:val="AlntChar"/>
    <w:uiPriority w:val="29"/>
    <w:qFormat/>
    <w:rsid w:val="00DA28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A2827"/>
    <w:rPr>
      <w:i/>
      <w:iCs/>
      <w:color w:val="404040" w:themeColor="text1" w:themeTint="BF"/>
      <w:lang w:val="en-US"/>
    </w:rPr>
  </w:style>
  <w:style w:type="paragraph" w:styleId="ListeParagraf">
    <w:name w:val="List Paragraph"/>
    <w:basedOn w:val="Normal"/>
    <w:uiPriority w:val="34"/>
    <w:qFormat/>
    <w:rsid w:val="00DA2827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A2827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A28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A2827"/>
    <w:rPr>
      <w:i/>
      <w:iCs/>
      <w:color w:val="0F4761" w:themeColor="accent1" w:themeShade="BF"/>
      <w:lang w:val="en-US"/>
    </w:rPr>
  </w:style>
  <w:style w:type="character" w:styleId="GlBavuru">
    <w:name w:val="Intense Reference"/>
    <w:basedOn w:val="VarsaylanParagrafYazTipi"/>
    <w:uiPriority w:val="32"/>
    <w:qFormat/>
    <w:rsid w:val="00DA2827"/>
    <w:rPr>
      <w:b/>
      <w:bCs/>
      <w:smallCaps/>
      <w:color w:val="0F4761" w:themeColor="accent1" w:themeShade="BF"/>
      <w:spacing w:val="5"/>
    </w:rPr>
  </w:style>
  <w:style w:type="paragraph" w:styleId="AltBilgi">
    <w:name w:val="footer"/>
    <w:basedOn w:val="Normal"/>
    <w:link w:val="AltBilgiChar"/>
    <w:uiPriority w:val="99"/>
    <w:unhideWhenUsed/>
    <w:rsid w:val="008C2E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C2EBE"/>
    <w:rPr>
      <w:lang w:val="en-US"/>
    </w:rPr>
  </w:style>
  <w:style w:type="character" w:styleId="SayfaNumaras">
    <w:name w:val="page number"/>
    <w:basedOn w:val="VarsaylanParagrafYazTipi"/>
    <w:uiPriority w:val="99"/>
    <w:semiHidden/>
    <w:unhideWhenUsed/>
    <w:rsid w:val="008C2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805</Words>
  <Characters>4590</Characters>
  <Application>Microsoft Office Word</Application>
  <DocSecurity>0</DocSecurity>
  <Lines>38</Lines>
  <Paragraphs>10</Paragraphs>
  <ScaleCrop>false</ScaleCrop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8738</dc:creator>
  <cp:keywords/>
  <dc:description/>
  <cp:lastModifiedBy>8738</cp:lastModifiedBy>
  <cp:revision>2</cp:revision>
  <dcterms:created xsi:type="dcterms:W3CDTF">2025-12-01T16:15:00Z</dcterms:created>
  <dcterms:modified xsi:type="dcterms:W3CDTF">2025-12-01T18:33:00Z</dcterms:modified>
</cp:coreProperties>
</file>